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2E" w:rsidRDefault="00ED332E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УДК</w:t>
      </w:r>
      <w:r w:rsidR="00AD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B40">
        <w:rPr>
          <w:rFonts w:ascii="Times New Roman" w:hAnsi="Times New Roman" w:cs="Times New Roman"/>
          <w:sz w:val="24"/>
          <w:szCs w:val="24"/>
        </w:rPr>
        <w:t>332.334.4</w:t>
      </w:r>
    </w:p>
    <w:p w:rsidR="00ED332E" w:rsidRDefault="00ED332E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2222" w:rsidRDefault="00592222" w:rsidP="00ED33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ЗЕМЕЛЬНЫХ РЕСУРСОВ ТАВРИЧЕСКОГО РАЙОНА ОМСКОЙ ОБЛАСТИ И ЭФФЕКТИВНОСТЬ ИХ ИСПОЛЬЗОВАНИЯ</w:t>
      </w:r>
    </w:p>
    <w:p w:rsidR="00ED332E" w:rsidRDefault="00ED332E" w:rsidP="00ED33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332E" w:rsidRDefault="00ED332E" w:rsidP="00ED332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А.А. Макарова, Т.А. Филиппова</w:t>
      </w:r>
    </w:p>
    <w:p w:rsidR="00ED332E" w:rsidRDefault="00ED332E" w:rsidP="00ED332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ФГБОУ ВПО </w:t>
      </w:r>
      <w:r w:rsidR="00FD65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ОмГАУ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им. П.А.Столыпина</w:t>
      </w:r>
      <w:r w:rsidR="00FD65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г. Омск, Россия</w:t>
      </w:r>
    </w:p>
    <w:p w:rsidR="00ED332E" w:rsidRDefault="00ED332E" w:rsidP="00ED332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656F0" w:rsidRPr="008656F0" w:rsidRDefault="008656F0" w:rsidP="00865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компетенции органов местного самоуправления входит 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управление и 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контроль земельными 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ресурсами района. </w:t>
      </w:r>
      <w:r w:rsidR="00755623"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Земельные ресурсы района составляют его земельный фонд. 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приведена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структура органов местной власти, в ведении которых 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находятся 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вопросы з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емельно-имущественных отношений.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ассмотрен земельный фонд Таврического района по категориям и 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формам собственности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E223C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проанализирована эффективность</w:t>
      </w:r>
      <w:r w:rsidRPr="008656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землепользования и управления земельными ресурсами.</w:t>
      </w:r>
    </w:p>
    <w:p w:rsidR="00ED332E" w:rsidRDefault="00ED332E" w:rsidP="008656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Ключевые слова</w:t>
      </w:r>
      <w:r w:rsidR="00830B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земельные отношения, землепользование, статистические данные, категории земель, земельный фонд.</w:t>
      </w:r>
    </w:p>
    <w:p w:rsidR="00ED332E" w:rsidRDefault="00ED332E" w:rsidP="00ED332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F30B9" w:rsidRDefault="00426CA0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з</w:t>
      </w:r>
      <w:r w:rsidR="004249B4" w:rsidRPr="00ED332E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249B4" w:rsidRPr="00ED332E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49B4" w:rsidRPr="00ED332E">
        <w:rPr>
          <w:rFonts w:ascii="Times New Roman" w:hAnsi="Times New Roman" w:cs="Times New Roman"/>
          <w:sz w:val="24"/>
          <w:szCs w:val="24"/>
        </w:rPr>
        <w:t>, эффективное использование земельных ресурсов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ED332E">
        <w:rPr>
          <w:rFonts w:ascii="Times New Roman" w:hAnsi="Times New Roman" w:cs="Times New Roman"/>
          <w:sz w:val="24"/>
          <w:szCs w:val="24"/>
        </w:rPr>
        <w:t>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ED332E">
        <w:rPr>
          <w:rFonts w:ascii="Times New Roman" w:hAnsi="Times New Roman" w:cs="Times New Roman"/>
          <w:sz w:val="24"/>
          <w:szCs w:val="24"/>
        </w:rPr>
        <w:t xml:space="preserve">систем </w:t>
      </w:r>
      <w:r>
        <w:rPr>
          <w:rFonts w:ascii="Times New Roman" w:hAnsi="Times New Roman" w:cs="Times New Roman"/>
          <w:sz w:val="24"/>
          <w:szCs w:val="24"/>
        </w:rPr>
        <w:t>землепользования</w:t>
      </w:r>
      <w:r w:rsidR="004249B4" w:rsidRPr="00ED332E">
        <w:rPr>
          <w:rFonts w:ascii="Times New Roman" w:hAnsi="Times New Roman" w:cs="Times New Roman"/>
          <w:sz w:val="24"/>
          <w:szCs w:val="24"/>
        </w:rPr>
        <w:t xml:space="preserve"> – это основные цели управления земельными </w:t>
      </w:r>
      <w:r w:rsidR="00B51D07" w:rsidRPr="00ED332E">
        <w:rPr>
          <w:rFonts w:ascii="Times New Roman" w:hAnsi="Times New Roman" w:cs="Times New Roman"/>
          <w:sz w:val="24"/>
          <w:szCs w:val="24"/>
        </w:rPr>
        <w:t>ресурсами</w:t>
      </w:r>
      <w:r w:rsidR="004249B4" w:rsidRPr="00ED332E">
        <w:rPr>
          <w:rFonts w:ascii="Times New Roman" w:hAnsi="Times New Roman" w:cs="Times New Roman"/>
          <w:sz w:val="24"/>
          <w:szCs w:val="24"/>
        </w:rPr>
        <w:t>.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 Охрану земель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 земельные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в Российской федерации регулирует земельное законодательство. Правовое положение Таврического района регламентируется Уставом, который был </w:t>
      </w:r>
      <w:r>
        <w:rPr>
          <w:rFonts w:ascii="Times New Roman" w:hAnsi="Times New Roman" w:cs="Times New Roman"/>
          <w:sz w:val="24"/>
          <w:szCs w:val="24"/>
        </w:rPr>
        <w:t>утверждён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 26 мая 2005 года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332E">
        <w:rPr>
          <w:rFonts w:ascii="Times New Roman" w:hAnsi="Times New Roman" w:cs="Times New Roman"/>
          <w:sz w:val="24"/>
          <w:szCs w:val="24"/>
        </w:rPr>
        <w:t>ешением №47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D07" w:rsidRPr="00ED332E">
        <w:rPr>
          <w:rFonts w:ascii="Times New Roman" w:hAnsi="Times New Roman" w:cs="Times New Roman"/>
          <w:sz w:val="24"/>
          <w:szCs w:val="24"/>
        </w:rPr>
        <w:t>Таврическ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 народных</w:t>
      </w:r>
      <w:r w:rsidR="00B51D07" w:rsidRPr="00ED332E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335" w:rsidRPr="00ED332E">
        <w:rPr>
          <w:rFonts w:ascii="Times New Roman" w:hAnsi="Times New Roman" w:cs="Times New Roman"/>
          <w:sz w:val="24"/>
          <w:szCs w:val="24"/>
        </w:rPr>
        <w:t xml:space="preserve"> Администрация Таврического муниципального района является исполнительно-распорядительным органом власти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района</w:t>
      </w:r>
      <w:r w:rsidR="002A6335" w:rsidRPr="00ED332E">
        <w:rPr>
          <w:rFonts w:ascii="Times New Roman" w:hAnsi="Times New Roman" w:cs="Times New Roman"/>
          <w:sz w:val="24"/>
          <w:szCs w:val="24"/>
        </w:rPr>
        <w:t>.</w:t>
      </w:r>
      <w:r w:rsidR="002C36A5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807A69">
        <w:rPr>
          <w:rFonts w:ascii="Times New Roman" w:hAnsi="Times New Roman" w:cs="Times New Roman"/>
          <w:sz w:val="24"/>
          <w:szCs w:val="24"/>
        </w:rPr>
        <w:t>В</w:t>
      </w:r>
      <w:r w:rsidR="00FF5126" w:rsidRPr="00ED332E">
        <w:rPr>
          <w:rFonts w:ascii="Times New Roman" w:hAnsi="Times New Roman" w:cs="Times New Roman"/>
          <w:sz w:val="24"/>
          <w:szCs w:val="24"/>
        </w:rPr>
        <w:t xml:space="preserve"> Таврическом районе </w:t>
      </w:r>
      <w:r w:rsidR="00807A69">
        <w:rPr>
          <w:rFonts w:ascii="Times New Roman" w:hAnsi="Times New Roman" w:cs="Times New Roman"/>
          <w:sz w:val="24"/>
          <w:szCs w:val="24"/>
        </w:rPr>
        <w:t xml:space="preserve">муниципальным органом, который </w:t>
      </w:r>
      <w:r w:rsidR="00FF5126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807A69">
        <w:rPr>
          <w:rFonts w:ascii="Times New Roman" w:hAnsi="Times New Roman" w:cs="Times New Roman"/>
          <w:sz w:val="24"/>
          <w:szCs w:val="24"/>
        </w:rPr>
        <w:t>занимается вопросами, управления землёй и недвижимостью я</w:t>
      </w:r>
      <w:r w:rsidR="00FF5126" w:rsidRPr="00ED332E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2A6335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807A69">
        <w:rPr>
          <w:rFonts w:ascii="Times New Roman" w:hAnsi="Times New Roman" w:cs="Times New Roman"/>
          <w:sz w:val="24"/>
          <w:szCs w:val="24"/>
        </w:rPr>
        <w:t>к</w:t>
      </w:r>
      <w:r w:rsidR="002A6335" w:rsidRPr="00ED332E">
        <w:rPr>
          <w:rFonts w:ascii="Times New Roman" w:hAnsi="Times New Roman" w:cs="Times New Roman"/>
          <w:sz w:val="24"/>
          <w:szCs w:val="24"/>
        </w:rPr>
        <w:t>омитет имуществе</w:t>
      </w:r>
      <w:r w:rsidR="00FF5126" w:rsidRPr="00ED332E">
        <w:rPr>
          <w:rFonts w:ascii="Times New Roman" w:hAnsi="Times New Roman" w:cs="Times New Roman"/>
          <w:sz w:val="24"/>
          <w:szCs w:val="24"/>
        </w:rPr>
        <w:t>нных отношений и землепользования, явля</w:t>
      </w:r>
      <w:r w:rsidR="00807A69">
        <w:rPr>
          <w:rFonts w:ascii="Times New Roman" w:hAnsi="Times New Roman" w:cs="Times New Roman"/>
          <w:sz w:val="24"/>
          <w:szCs w:val="24"/>
        </w:rPr>
        <w:t>ющийся</w:t>
      </w:r>
      <w:r w:rsidR="00FF5126" w:rsidRPr="00ED332E">
        <w:rPr>
          <w:rFonts w:ascii="Times New Roman" w:hAnsi="Times New Roman" w:cs="Times New Roman"/>
          <w:sz w:val="24"/>
          <w:szCs w:val="24"/>
        </w:rPr>
        <w:t xml:space="preserve"> структурным подразделением Администрации района.</w:t>
      </w:r>
      <w:r w:rsidR="00EA15B9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EA15B9" w:rsidRPr="00DF30B9">
        <w:rPr>
          <w:rFonts w:ascii="Times New Roman" w:hAnsi="Times New Roman" w:cs="Times New Roman"/>
          <w:sz w:val="24"/>
          <w:szCs w:val="24"/>
        </w:rPr>
        <w:t>На комитет возлагаются определенные задачи</w:t>
      </w:r>
      <w:r w:rsidR="00DF30B9">
        <w:rPr>
          <w:rFonts w:ascii="Times New Roman" w:hAnsi="Times New Roman" w:cs="Times New Roman"/>
          <w:sz w:val="24"/>
          <w:szCs w:val="24"/>
        </w:rPr>
        <w:t>, такие как:</w:t>
      </w:r>
      <w:r w:rsidR="00EA15B9" w:rsidRPr="00DF30B9">
        <w:rPr>
          <w:rFonts w:ascii="Times New Roman" w:hAnsi="Times New Roman" w:cs="Times New Roman"/>
          <w:sz w:val="24"/>
          <w:szCs w:val="24"/>
        </w:rPr>
        <w:t xml:space="preserve"> учет муниципального имущества, распоряжение</w:t>
      </w:r>
      <w:r w:rsidR="00807A69" w:rsidRPr="00DF30B9">
        <w:rPr>
          <w:rFonts w:ascii="Times New Roman" w:hAnsi="Times New Roman" w:cs="Times New Roman"/>
          <w:sz w:val="24"/>
          <w:szCs w:val="24"/>
        </w:rPr>
        <w:t xml:space="preserve"> и</w:t>
      </w:r>
      <w:r w:rsidR="00EA15B9" w:rsidRPr="00DF30B9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807A69" w:rsidRPr="00DF30B9">
        <w:rPr>
          <w:rFonts w:ascii="Times New Roman" w:hAnsi="Times New Roman" w:cs="Times New Roman"/>
          <w:sz w:val="24"/>
          <w:szCs w:val="24"/>
        </w:rPr>
        <w:t xml:space="preserve"> им</w:t>
      </w:r>
      <w:r w:rsidR="00DF30B9" w:rsidRPr="00DF30B9">
        <w:rPr>
          <w:rFonts w:ascii="Times New Roman" w:hAnsi="Times New Roman" w:cs="Times New Roman"/>
          <w:sz w:val="24"/>
          <w:szCs w:val="24"/>
        </w:rPr>
        <w:t>.</w:t>
      </w:r>
      <w:r w:rsidR="00EA15B9" w:rsidRPr="00DF30B9">
        <w:rPr>
          <w:rFonts w:ascii="Times New Roman" w:hAnsi="Times New Roman" w:cs="Times New Roman"/>
          <w:sz w:val="24"/>
          <w:szCs w:val="24"/>
        </w:rPr>
        <w:t xml:space="preserve"> </w:t>
      </w:r>
      <w:r w:rsidR="002C56DA" w:rsidRPr="00DF30B9">
        <w:rPr>
          <w:rFonts w:ascii="Times New Roman" w:hAnsi="Times New Roman" w:cs="Times New Roman"/>
          <w:sz w:val="24"/>
          <w:szCs w:val="24"/>
        </w:rPr>
        <w:t>В</w:t>
      </w:r>
      <w:r w:rsidR="002C56DA" w:rsidRPr="00ED332E">
        <w:rPr>
          <w:rFonts w:ascii="Times New Roman" w:hAnsi="Times New Roman" w:cs="Times New Roman"/>
          <w:sz w:val="24"/>
          <w:szCs w:val="24"/>
        </w:rPr>
        <w:t xml:space="preserve"> соответствии с задачами, </w:t>
      </w:r>
      <w:r w:rsidR="00807A69">
        <w:rPr>
          <w:rFonts w:ascii="Times New Roman" w:hAnsi="Times New Roman" w:cs="Times New Roman"/>
          <w:sz w:val="24"/>
          <w:szCs w:val="24"/>
        </w:rPr>
        <w:t>к</w:t>
      </w:r>
      <w:r w:rsidR="002C56DA" w:rsidRPr="00ED332E">
        <w:rPr>
          <w:rFonts w:ascii="Times New Roman" w:hAnsi="Times New Roman" w:cs="Times New Roman"/>
          <w:sz w:val="24"/>
          <w:szCs w:val="24"/>
        </w:rPr>
        <w:t>омитет осуществляет функции по владению, управлению, распоряжению и пользованию муниципальным имуществом</w:t>
      </w:r>
      <w:r w:rsidR="00807A69">
        <w:rPr>
          <w:rFonts w:ascii="Times New Roman" w:hAnsi="Times New Roman" w:cs="Times New Roman"/>
          <w:sz w:val="24"/>
          <w:szCs w:val="24"/>
        </w:rPr>
        <w:t>,</w:t>
      </w:r>
      <w:r w:rsidR="002C56DA" w:rsidRPr="00ED332E">
        <w:rPr>
          <w:rFonts w:ascii="Times New Roman" w:hAnsi="Times New Roman" w:cs="Times New Roman"/>
          <w:sz w:val="24"/>
          <w:szCs w:val="24"/>
        </w:rPr>
        <w:t xml:space="preserve"> осуществляет распоряжение и управление земельными участками, которые находятся в государственной и муниципальной собственности до разграничения</w:t>
      </w:r>
      <w:r w:rsidR="00DF30B9">
        <w:rPr>
          <w:rFonts w:ascii="Times New Roman" w:hAnsi="Times New Roman" w:cs="Times New Roman"/>
          <w:sz w:val="24"/>
          <w:szCs w:val="24"/>
        </w:rPr>
        <w:t xml:space="preserve">, </w:t>
      </w:r>
      <w:r w:rsidR="00A83072" w:rsidRPr="00ED332E">
        <w:rPr>
          <w:rFonts w:ascii="Times New Roman" w:hAnsi="Times New Roman" w:cs="Times New Roman"/>
          <w:sz w:val="24"/>
          <w:szCs w:val="24"/>
        </w:rPr>
        <w:t xml:space="preserve">разрабатывает и </w:t>
      </w:r>
      <w:r w:rsidR="002C56DA" w:rsidRPr="00ED332E">
        <w:rPr>
          <w:rFonts w:ascii="Times New Roman" w:hAnsi="Times New Roman" w:cs="Times New Roman"/>
          <w:sz w:val="24"/>
          <w:szCs w:val="24"/>
        </w:rPr>
        <w:t>реализовывает</w:t>
      </w:r>
      <w:r w:rsidR="00A83072" w:rsidRPr="00ED332E">
        <w:rPr>
          <w:rFonts w:ascii="Times New Roman" w:hAnsi="Times New Roman" w:cs="Times New Roman"/>
          <w:sz w:val="24"/>
          <w:szCs w:val="24"/>
        </w:rPr>
        <w:t xml:space="preserve"> в последующем</w:t>
      </w:r>
      <w:r w:rsidR="002C56DA" w:rsidRPr="00ED332E">
        <w:rPr>
          <w:rFonts w:ascii="Times New Roman" w:hAnsi="Times New Roman" w:cs="Times New Roman"/>
          <w:sz w:val="24"/>
          <w:szCs w:val="24"/>
        </w:rPr>
        <w:t xml:space="preserve"> план приватизации собственности района</w:t>
      </w:r>
      <w:r w:rsidR="00A83072" w:rsidRPr="00ED332E">
        <w:rPr>
          <w:rFonts w:ascii="Times New Roman" w:hAnsi="Times New Roman" w:cs="Times New Roman"/>
          <w:sz w:val="24"/>
          <w:szCs w:val="24"/>
        </w:rPr>
        <w:t>, о</w:t>
      </w:r>
      <w:r w:rsidR="002C56DA" w:rsidRPr="00ED332E">
        <w:rPr>
          <w:rFonts w:ascii="Times New Roman" w:hAnsi="Times New Roman" w:cs="Times New Roman"/>
          <w:sz w:val="24"/>
          <w:szCs w:val="24"/>
        </w:rPr>
        <w:t xml:space="preserve">существляет реестр </w:t>
      </w:r>
      <w:r w:rsidR="00A83072" w:rsidRPr="00ED332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C56DA" w:rsidRPr="00ED332E">
        <w:rPr>
          <w:rFonts w:ascii="Times New Roman" w:hAnsi="Times New Roman" w:cs="Times New Roman"/>
          <w:sz w:val="24"/>
          <w:szCs w:val="24"/>
        </w:rPr>
        <w:t>собственности.</w:t>
      </w:r>
      <w:r w:rsidR="00A83072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DF30B9">
        <w:rPr>
          <w:rFonts w:ascii="Times New Roman" w:hAnsi="Times New Roman" w:cs="Times New Roman"/>
          <w:sz w:val="24"/>
          <w:szCs w:val="24"/>
        </w:rPr>
        <w:t xml:space="preserve">К функциям этого органа относятся также </w:t>
      </w:r>
      <w:r w:rsidR="00A83072" w:rsidRPr="00ED332E">
        <w:rPr>
          <w:rFonts w:ascii="Times New Roman" w:hAnsi="Times New Roman" w:cs="Times New Roman"/>
          <w:sz w:val="24"/>
          <w:szCs w:val="24"/>
        </w:rPr>
        <w:t xml:space="preserve"> проведение торгов по продаже объектов недвижимости и движимого имущества, находящихся в муниципальной собственности, проводит проверку имущества и земельных участков на предмет целевого и рационального использования</w:t>
      </w:r>
      <w:r w:rsidR="00DF30B9">
        <w:rPr>
          <w:rFonts w:ascii="Times New Roman" w:hAnsi="Times New Roman" w:cs="Times New Roman"/>
          <w:sz w:val="24"/>
          <w:szCs w:val="24"/>
        </w:rPr>
        <w:t xml:space="preserve"> (муниципальный контроль)</w:t>
      </w:r>
      <w:r w:rsidR="00A83072" w:rsidRPr="00ED332E">
        <w:rPr>
          <w:rFonts w:ascii="Times New Roman" w:hAnsi="Times New Roman" w:cs="Times New Roman"/>
          <w:sz w:val="24"/>
          <w:szCs w:val="24"/>
        </w:rPr>
        <w:t xml:space="preserve">. Комитет также может выступать администратором по неналоговым </w:t>
      </w:r>
      <w:r w:rsidR="00802FC9" w:rsidRPr="00ED332E">
        <w:rPr>
          <w:rFonts w:ascii="Times New Roman" w:hAnsi="Times New Roman" w:cs="Times New Roman"/>
          <w:sz w:val="24"/>
          <w:szCs w:val="24"/>
        </w:rPr>
        <w:t xml:space="preserve">доходам в местный бюджет района, а также реализует другие функции в соответствии с нормативными актами для исполнения задач, которые возложены на Комитет. Комитет состоит из структурных подразделений: отдел по управлению муниципальным имуществом и сектор по управлению земельными ресурсами. </w:t>
      </w:r>
    </w:p>
    <w:p w:rsidR="00C854D6" w:rsidRDefault="009B7C66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32E">
        <w:rPr>
          <w:rFonts w:ascii="Times New Roman" w:hAnsi="Times New Roman" w:cs="Times New Roman"/>
          <w:sz w:val="24"/>
          <w:szCs w:val="24"/>
        </w:rPr>
        <w:t xml:space="preserve">Таврический муниципальный район </w:t>
      </w:r>
      <w:r w:rsidR="00FA24E1" w:rsidRPr="00ED332E">
        <w:rPr>
          <w:rFonts w:ascii="Times New Roman" w:hAnsi="Times New Roman" w:cs="Times New Roman"/>
          <w:sz w:val="24"/>
          <w:szCs w:val="24"/>
        </w:rPr>
        <w:t>расположен</w:t>
      </w:r>
      <w:r w:rsidR="00592222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FA24E1" w:rsidRPr="00ED332E">
        <w:rPr>
          <w:rFonts w:ascii="Times New Roman" w:hAnsi="Times New Roman" w:cs="Times New Roman"/>
          <w:sz w:val="24"/>
          <w:szCs w:val="24"/>
        </w:rPr>
        <w:t>на</w:t>
      </w:r>
      <w:r w:rsidR="00592222" w:rsidRPr="00ED332E">
        <w:rPr>
          <w:rFonts w:ascii="Times New Roman" w:hAnsi="Times New Roman" w:cs="Times New Roman"/>
          <w:sz w:val="24"/>
          <w:szCs w:val="24"/>
        </w:rPr>
        <w:t xml:space="preserve"> южной части </w:t>
      </w:r>
      <w:r w:rsidRPr="00ED332E">
        <w:rPr>
          <w:rFonts w:ascii="Times New Roman" w:hAnsi="Times New Roman" w:cs="Times New Roman"/>
          <w:sz w:val="24"/>
          <w:szCs w:val="24"/>
        </w:rPr>
        <w:t>Омской области</w:t>
      </w:r>
      <w:r w:rsidR="00592222" w:rsidRPr="00ED332E">
        <w:rPr>
          <w:rFonts w:ascii="Times New Roman" w:hAnsi="Times New Roman" w:cs="Times New Roman"/>
          <w:sz w:val="24"/>
          <w:szCs w:val="24"/>
        </w:rPr>
        <w:t xml:space="preserve"> и принадлежит степной природно-сельскохозяйственной зоне.</w:t>
      </w:r>
      <w:r w:rsidRPr="00ED332E">
        <w:rPr>
          <w:rFonts w:ascii="Times New Roman" w:hAnsi="Times New Roman" w:cs="Times New Roman"/>
          <w:sz w:val="24"/>
          <w:szCs w:val="24"/>
        </w:rPr>
        <w:t xml:space="preserve"> Административным центром района является населенный пункт Таврическое. Расстояние от </w:t>
      </w:r>
      <w:r w:rsidR="005C5B64" w:rsidRPr="00ED332E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ED332E">
        <w:rPr>
          <w:rFonts w:ascii="Times New Roman" w:hAnsi="Times New Roman" w:cs="Times New Roman"/>
          <w:sz w:val="24"/>
          <w:szCs w:val="24"/>
        </w:rPr>
        <w:t xml:space="preserve"> центра до г</w:t>
      </w:r>
      <w:r w:rsidR="005C5B64" w:rsidRPr="00ED332E">
        <w:rPr>
          <w:rFonts w:ascii="Times New Roman" w:hAnsi="Times New Roman" w:cs="Times New Roman"/>
          <w:sz w:val="24"/>
          <w:szCs w:val="24"/>
        </w:rPr>
        <w:t>орода</w:t>
      </w:r>
      <w:r w:rsidRPr="00ED332E">
        <w:rPr>
          <w:rFonts w:ascii="Times New Roman" w:hAnsi="Times New Roman" w:cs="Times New Roman"/>
          <w:sz w:val="24"/>
          <w:szCs w:val="24"/>
        </w:rPr>
        <w:t xml:space="preserve"> Омска 52 километра. </w:t>
      </w:r>
      <w:r w:rsidR="005C5B64" w:rsidRPr="00ED332E">
        <w:rPr>
          <w:rFonts w:ascii="Times New Roman" w:hAnsi="Times New Roman" w:cs="Times New Roman"/>
          <w:sz w:val="24"/>
          <w:szCs w:val="24"/>
        </w:rPr>
        <w:t xml:space="preserve">По статистическим данным </w:t>
      </w:r>
      <w:r w:rsidR="002C36A5" w:rsidRPr="00ED332E">
        <w:rPr>
          <w:rFonts w:ascii="Times New Roman" w:hAnsi="Times New Roman" w:cs="Times New Roman"/>
          <w:sz w:val="24"/>
          <w:szCs w:val="24"/>
        </w:rPr>
        <w:t xml:space="preserve">на 01 января 2014 года </w:t>
      </w:r>
      <w:r w:rsidR="005C5B64" w:rsidRPr="00ED332E">
        <w:rPr>
          <w:rFonts w:ascii="Times New Roman" w:hAnsi="Times New Roman" w:cs="Times New Roman"/>
          <w:sz w:val="24"/>
          <w:szCs w:val="24"/>
        </w:rPr>
        <w:t xml:space="preserve">все население Таврического района составляет 36 367 человек, из них в сельских населенных пунктах 23486 человек и в р.п. Таврическое 12881 человек. </w:t>
      </w:r>
      <w:r w:rsidR="00592222" w:rsidRPr="00ED332E">
        <w:rPr>
          <w:rFonts w:ascii="Times New Roman" w:hAnsi="Times New Roman" w:cs="Times New Roman"/>
          <w:sz w:val="24"/>
          <w:szCs w:val="24"/>
        </w:rPr>
        <w:t>Плотность населения в городском населенном пункте составляет 1840 чел/кв</w:t>
      </w:r>
      <w:proofErr w:type="gramStart"/>
      <w:r w:rsidR="00592222" w:rsidRPr="00ED332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92222" w:rsidRPr="00ED332E">
        <w:rPr>
          <w:rFonts w:ascii="Times New Roman" w:hAnsi="Times New Roman" w:cs="Times New Roman"/>
          <w:sz w:val="24"/>
          <w:szCs w:val="24"/>
        </w:rPr>
        <w:t xml:space="preserve">м, в сельских – </w:t>
      </w:r>
      <w:r w:rsidR="00E65163">
        <w:rPr>
          <w:rFonts w:ascii="Times New Roman" w:hAnsi="Times New Roman" w:cs="Times New Roman"/>
          <w:sz w:val="24"/>
          <w:szCs w:val="24"/>
        </w:rPr>
        <w:t>9</w:t>
      </w:r>
      <w:r w:rsidR="00592222" w:rsidRPr="00ED332E">
        <w:rPr>
          <w:rFonts w:ascii="Times New Roman" w:hAnsi="Times New Roman" w:cs="Times New Roman"/>
          <w:sz w:val="24"/>
          <w:szCs w:val="24"/>
        </w:rPr>
        <w:t xml:space="preserve"> чел/кв.км.</w:t>
      </w:r>
      <w:r w:rsidR="002C36A5" w:rsidRPr="00ED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A5" w:rsidRPr="00ED332E" w:rsidRDefault="00C854D6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Административная организация т</w:t>
      </w:r>
      <w:r w:rsidR="002C36A5" w:rsidRPr="00ED332E">
        <w:rPr>
          <w:rFonts w:ascii="Times New Roman" w:hAnsi="Times New Roman" w:cs="Times New Roman"/>
          <w:sz w:val="24"/>
          <w:szCs w:val="24"/>
        </w:rPr>
        <w:t>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36A5" w:rsidRPr="00ED332E">
        <w:rPr>
          <w:rFonts w:ascii="Times New Roman" w:hAnsi="Times New Roman" w:cs="Times New Roman"/>
          <w:sz w:val="24"/>
          <w:szCs w:val="24"/>
        </w:rPr>
        <w:t xml:space="preserve">  Таврического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2C36A5"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2C36A5"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</w:t>
      </w:r>
      <w:r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C36A5"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</w:t>
      </w:r>
      <w:r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C36A5"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-  р.п. Таврическое</w:t>
      </w:r>
      <w:r w:rsidR="002C36A5"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десяти сельских</w:t>
      </w:r>
      <w:r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поселений, в состав которых входят </w:t>
      </w:r>
      <w:r w:rsidR="002C36A5"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 сельских населенных пункт</w:t>
      </w:r>
      <w:r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C36A5" w:rsidRPr="00C8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C36A5" w:rsidRPr="00ED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4E" w:rsidRPr="00ED332E" w:rsidRDefault="004249B4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32E">
        <w:rPr>
          <w:rFonts w:ascii="Times New Roman" w:hAnsi="Times New Roman" w:cs="Times New Roman"/>
          <w:sz w:val="24"/>
          <w:szCs w:val="24"/>
        </w:rPr>
        <w:t xml:space="preserve"> </w:t>
      </w:r>
      <w:r w:rsidR="005C5B64" w:rsidRPr="00ED332E">
        <w:rPr>
          <w:rFonts w:ascii="Times New Roman" w:hAnsi="Times New Roman" w:cs="Times New Roman"/>
          <w:sz w:val="24"/>
          <w:szCs w:val="24"/>
        </w:rPr>
        <w:t>Вся площадь района равна 273</w:t>
      </w:r>
      <w:r w:rsidR="00592222" w:rsidRPr="00ED332E">
        <w:rPr>
          <w:rFonts w:ascii="Times New Roman" w:hAnsi="Times New Roman" w:cs="Times New Roman"/>
          <w:sz w:val="24"/>
          <w:szCs w:val="24"/>
        </w:rPr>
        <w:t xml:space="preserve">589 </w:t>
      </w:r>
      <w:r w:rsidR="005C5B64" w:rsidRPr="00ED332E">
        <w:rPr>
          <w:rFonts w:ascii="Times New Roman" w:hAnsi="Times New Roman" w:cs="Times New Roman"/>
          <w:sz w:val="24"/>
          <w:szCs w:val="24"/>
        </w:rPr>
        <w:t xml:space="preserve">га, из них </w:t>
      </w:r>
      <w:r w:rsidR="00592222" w:rsidRPr="00ED332E">
        <w:rPr>
          <w:rFonts w:ascii="Times New Roman" w:hAnsi="Times New Roman" w:cs="Times New Roman"/>
          <w:sz w:val="24"/>
          <w:szCs w:val="24"/>
        </w:rPr>
        <w:t xml:space="preserve">1642 </w:t>
      </w:r>
      <w:r w:rsidR="005C5B64" w:rsidRPr="00ED332E">
        <w:rPr>
          <w:rFonts w:ascii="Times New Roman" w:hAnsi="Times New Roman" w:cs="Times New Roman"/>
          <w:sz w:val="24"/>
          <w:szCs w:val="24"/>
        </w:rPr>
        <w:t>га приходится на городско</w:t>
      </w:r>
      <w:r w:rsidR="00592222" w:rsidRPr="00ED332E">
        <w:rPr>
          <w:rFonts w:ascii="Times New Roman" w:hAnsi="Times New Roman" w:cs="Times New Roman"/>
          <w:sz w:val="24"/>
          <w:szCs w:val="24"/>
        </w:rPr>
        <w:t>е поселение Таврическое</w:t>
      </w:r>
      <w:r w:rsidR="003F4D4E" w:rsidRPr="00ED332E">
        <w:rPr>
          <w:rFonts w:ascii="Times New Roman" w:hAnsi="Times New Roman" w:cs="Times New Roman"/>
          <w:sz w:val="24"/>
          <w:szCs w:val="24"/>
        </w:rPr>
        <w:t xml:space="preserve">. Распределение земельного фонда Таврического района по категориям представлено в </w:t>
      </w:r>
      <w:r w:rsidR="00E91557">
        <w:rPr>
          <w:rFonts w:ascii="Times New Roman" w:hAnsi="Times New Roman" w:cs="Times New Roman"/>
          <w:sz w:val="24"/>
          <w:szCs w:val="24"/>
        </w:rPr>
        <w:t>т</w:t>
      </w:r>
      <w:r w:rsidR="00B51D07" w:rsidRPr="00ED332E">
        <w:rPr>
          <w:rFonts w:ascii="Times New Roman" w:hAnsi="Times New Roman" w:cs="Times New Roman"/>
          <w:sz w:val="24"/>
          <w:szCs w:val="24"/>
        </w:rPr>
        <w:t>абл</w:t>
      </w:r>
      <w:r w:rsidR="00807A69">
        <w:rPr>
          <w:rFonts w:ascii="Times New Roman" w:hAnsi="Times New Roman" w:cs="Times New Roman"/>
          <w:sz w:val="24"/>
          <w:szCs w:val="24"/>
        </w:rPr>
        <w:t xml:space="preserve">ице </w:t>
      </w:r>
      <w:r w:rsidR="00B51D07" w:rsidRPr="00ED332E">
        <w:rPr>
          <w:rFonts w:ascii="Times New Roman" w:hAnsi="Times New Roman" w:cs="Times New Roman"/>
          <w:sz w:val="24"/>
          <w:szCs w:val="24"/>
        </w:rPr>
        <w:t>1</w:t>
      </w:r>
      <w:r w:rsidR="00592222" w:rsidRPr="00ED332E">
        <w:rPr>
          <w:rFonts w:ascii="Times New Roman" w:hAnsi="Times New Roman" w:cs="Times New Roman"/>
          <w:sz w:val="24"/>
          <w:szCs w:val="24"/>
        </w:rPr>
        <w:t>.</w:t>
      </w:r>
      <w:r w:rsidR="003F4D4E" w:rsidRPr="00ED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4E" w:rsidRPr="00ED332E" w:rsidRDefault="003F4D4E" w:rsidP="00B90A4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332E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807A69" w:rsidRDefault="003F4D4E" w:rsidP="00807A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2E">
        <w:rPr>
          <w:rFonts w:ascii="Times New Roman" w:hAnsi="Times New Roman" w:cs="Times New Roman"/>
          <w:b/>
          <w:bCs/>
          <w:sz w:val="24"/>
          <w:szCs w:val="24"/>
        </w:rPr>
        <w:t>Распределение земельного фонда по категориям земель за период 2010-2013 гг</w:t>
      </w:r>
      <w:r w:rsidR="00807A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4D4E" w:rsidRPr="00ED332E" w:rsidRDefault="003F4D4E" w:rsidP="00807A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32E">
        <w:rPr>
          <w:rFonts w:ascii="Times New Roman" w:hAnsi="Times New Roman" w:cs="Times New Roman"/>
          <w:b/>
          <w:bCs/>
          <w:sz w:val="24"/>
          <w:szCs w:val="24"/>
        </w:rPr>
        <w:t xml:space="preserve"> в Таврическом районе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3302"/>
        <w:gridCol w:w="1325"/>
        <w:gridCol w:w="913"/>
        <w:gridCol w:w="1205"/>
        <w:gridCol w:w="961"/>
        <w:gridCol w:w="1650"/>
      </w:tblGrid>
      <w:tr w:rsidR="003F4D4E" w:rsidRPr="00B90A4A" w:rsidTr="00B90A4A">
        <w:trPr>
          <w:trHeight w:val="597"/>
        </w:trPr>
        <w:tc>
          <w:tcPr>
            <w:tcW w:w="33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238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807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 г</w:t>
            </w:r>
          </w:p>
        </w:tc>
        <w:tc>
          <w:tcPr>
            <w:tcW w:w="2166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2013 г</w:t>
            </w:r>
          </w:p>
        </w:tc>
        <w:tc>
          <w:tcPr>
            <w:tcW w:w="16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Изменения 20</w:t>
            </w:r>
            <w:r w:rsidRPr="00807A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0–2013</w:t>
            </w:r>
          </w:p>
        </w:tc>
      </w:tr>
      <w:tr w:rsidR="003F4D4E" w:rsidRPr="00B90A4A" w:rsidTr="00B90A4A">
        <w:trPr>
          <w:trHeight w:val="239"/>
        </w:trPr>
        <w:tc>
          <w:tcPr>
            <w:tcW w:w="3302" w:type="dxa"/>
            <w:tcBorders>
              <w:top w:val="double" w:sz="4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bottom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5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+/– </w:t>
            </w:r>
            <w:proofErr w:type="gramStart"/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</w:p>
        </w:tc>
      </w:tr>
      <w:tr w:rsidR="003F4D4E" w:rsidRPr="00B90A4A" w:rsidTr="00B90A4A">
        <w:trPr>
          <w:trHeight w:val="186"/>
        </w:trPr>
        <w:tc>
          <w:tcPr>
            <w:tcW w:w="330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F4D4E" w:rsidRPr="00B90A4A" w:rsidTr="00CD2E4D">
        <w:trPr>
          <w:trHeight w:val="363"/>
        </w:trPr>
        <w:tc>
          <w:tcPr>
            <w:tcW w:w="3302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262600</w:t>
            </w:r>
          </w:p>
        </w:tc>
        <w:tc>
          <w:tcPr>
            <w:tcW w:w="91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262600</w:t>
            </w:r>
          </w:p>
        </w:tc>
        <w:tc>
          <w:tcPr>
            <w:tcW w:w="96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5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383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6044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6044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1985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518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215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332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239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F4D4E" w:rsidRPr="00B90A4A" w:rsidTr="00B90A4A">
        <w:trPr>
          <w:trHeight w:val="399"/>
        </w:trPr>
        <w:tc>
          <w:tcPr>
            <w:tcW w:w="3302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ИТОГО ПО ОБЛАСТИ: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273589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273589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F4D4E" w:rsidRPr="00B90A4A" w:rsidRDefault="003F4D4E" w:rsidP="00B90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0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1C32E1" w:rsidRDefault="001C32E1" w:rsidP="00AA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4D6" w:rsidRDefault="00C854D6" w:rsidP="00AA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F4D4E" w:rsidRPr="00ED332E">
        <w:rPr>
          <w:rFonts w:ascii="Times New Roman" w:hAnsi="Times New Roman" w:cs="Times New Roman"/>
          <w:sz w:val="24"/>
          <w:szCs w:val="24"/>
        </w:rPr>
        <w:t xml:space="preserve">аибольшую площадь </w:t>
      </w:r>
      <w:r>
        <w:rPr>
          <w:rFonts w:ascii="Times New Roman" w:hAnsi="Times New Roman" w:cs="Times New Roman"/>
          <w:sz w:val="24"/>
          <w:szCs w:val="24"/>
        </w:rPr>
        <w:t>96%</w:t>
      </w:r>
      <w:r w:rsidRPr="00C854D6">
        <w:rPr>
          <w:rFonts w:ascii="Times New Roman" w:hAnsi="Times New Roman" w:cs="Times New Roman"/>
          <w:sz w:val="24"/>
          <w:szCs w:val="24"/>
        </w:rPr>
        <w:t xml:space="preserve"> </w:t>
      </w:r>
      <w:r w:rsidRPr="00ED332E">
        <w:rPr>
          <w:rFonts w:ascii="Times New Roman" w:hAnsi="Times New Roman" w:cs="Times New Roman"/>
          <w:sz w:val="24"/>
          <w:szCs w:val="24"/>
        </w:rPr>
        <w:t xml:space="preserve">от общей площади района </w:t>
      </w:r>
      <w:r w:rsidR="003F4D4E" w:rsidRPr="00ED332E">
        <w:rPr>
          <w:rFonts w:ascii="Times New Roman" w:hAnsi="Times New Roman" w:cs="Times New Roman"/>
          <w:sz w:val="24"/>
          <w:szCs w:val="24"/>
        </w:rPr>
        <w:t>занимают земли сельскохозяйственн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F4D4E" w:rsidRPr="00ED332E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55623">
        <w:rPr>
          <w:rFonts w:ascii="Times New Roman" w:hAnsi="Times New Roman" w:cs="Times New Roman"/>
          <w:sz w:val="24"/>
          <w:szCs w:val="24"/>
        </w:rPr>
        <w:t xml:space="preserve"> </w:t>
      </w:r>
      <w:r w:rsidR="00755623" w:rsidRPr="00755623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4D4E" w:rsidRPr="00ED332E">
        <w:rPr>
          <w:rFonts w:ascii="Times New Roman" w:hAnsi="Times New Roman" w:cs="Times New Roman"/>
          <w:sz w:val="24"/>
          <w:szCs w:val="24"/>
        </w:rPr>
        <w:t>Это говорит</w:t>
      </w:r>
      <w:r>
        <w:rPr>
          <w:rFonts w:ascii="Times New Roman" w:hAnsi="Times New Roman" w:cs="Times New Roman"/>
          <w:sz w:val="24"/>
          <w:szCs w:val="24"/>
        </w:rPr>
        <w:t xml:space="preserve"> о том,</w:t>
      </w:r>
      <w:r w:rsidR="003F4D4E" w:rsidRPr="00ED332E">
        <w:rPr>
          <w:rFonts w:ascii="Times New Roman" w:hAnsi="Times New Roman" w:cs="Times New Roman"/>
          <w:sz w:val="24"/>
          <w:szCs w:val="24"/>
        </w:rPr>
        <w:t xml:space="preserve"> что основн</w:t>
      </w:r>
      <w:r>
        <w:rPr>
          <w:rFonts w:ascii="Times New Roman" w:hAnsi="Times New Roman" w:cs="Times New Roman"/>
          <w:sz w:val="24"/>
          <w:szCs w:val="24"/>
        </w:rPr>
        <w:t xml:space="preserve">ая специализация района – </w:t>
      </w:r>
      <w:r w:rsidR="003F4D4E" w:rsidRPr="00ED332E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хозяйственное производство</w:t>
      </w:r>
      <w:r w:rsidR="003F4D4E" w:rsidRPr="00ED332E">
        <w:rPr>
          <w:rFonts w:ascii="Times New Roman" w:hAnsi="Times New Roman" w:cs="Times New Roman"/>
          <w:sz w:val="24"/>
          <w:szCs w:val="24"/>
        </w:rPr>
        <w:t>, характерно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F4D4E" w:rsidRPr="00ED332E">
        <w:rPr>
          <w:rFonts w:ascii="Times New Roman" w:hAnsi="Times New Roman" w:cs="Times New Roman"/>
          <w:sz w:val="24"/>
          <w:szCs w:val="24"/>
        </w:rPr>
        <w:t xml:space="preserve"> для степной природно-климатической зоны, в которой расположен район. </w:t>
      </w:r>
      <w:r w:rsidR="00D7188C">
        <w:rPr>
          <w:rFonts w:ascii="Times New Roman" w:hAnsi="Times New Roman" w:cs="Times New Roman"/>
          <w:sz w:val="24"/>
          <w:szCs w:val="24"/>
        </w:rPr>
        <w:t xml:space="preserve">За последние пять лет изменений в структуре земельных ресурсов Таврического района не произошло, что говорит о стабильности в сельскохозяйственном производстве и экономике района в целом,  близостью района к областному центру. </w:t>
      </w:r>
    </w:p>
    <w:p w:rsidR="00C91550" w:rsidRDefault="00B90A4A" w:rsidP="00AA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6CE">
        <w:rPr>
          <w:rFonts w:ascii="Times New Roman" w:hAnsi="Times New Roman" w:cs="Times New Roman"/>
          <w:sz w:val="24"/>
          <w:szCs w:val="24"/>
        </w:rPr>
        <w:t>Земли населенных пунктов занимают незначительную площадь – всего 6044 га</w:t>
      </w:r>
      <w:r w:rsidR="00D7188C">
        <w:rPr>
          <w:rFonts w:ascii="Times New Roman" w:hAnsi="Times New Roman" w:cs="Times New Roman"/>
          <w:sz w:val="24"/>
          <w:szCs w:val="24"/>
        </w:rPr>
        <w:t xml:space="preserve"> (2%)</w:t>
      </w:r>
      <w:r w:rsidR="00C854D6">
        <w:rPr>
          <w:rFonts w:ascii="Times New Roman" w:hAnsi="Times New Roman" w:cs="Times New Roman"/>
          <w:sz w:val="24"/>
          <w:szCs w:val="24"/>
        </w:rPr>
        <w:t>.</w:t>
      </w:r>
      <w:r w:rsidRPr="00FF46CE">
        <w:rPr>
          <w:rFonts w:ascii="Times New Roman" w:hAnsi="Times New Roman" w:cs="Times New Roman"/>
          <w:sz w:val="24"/>
          <w:szCs w:val="24"/>
        </w:rPr>
        <w:t xml:space="preserve">  В составе земель населенных пунктов преобладают сельскохозяйственные угодья (68%). Это подтвержда</w:t>
      </w:r>
      <w:r w:rsidR="001C32E1">
        <w:rPr>
          <w:rFonts w:ascii="Times New Roman" w:hAnsi="Times New Roman" w:cs="Times New Roman"/>
          <w:sz w:val="24"/>
          <w:szCs w:val="24"/>
        </w:rPr>
        <w:t>ется тем,</w:t>
      </w:r>
      <w:r w:rsidRPr="00FF46CE">
        <w:rPr>
          <w:rFonts w:ascii="Times New Roman" w:hAnsi="Times New Roman" w:cs="Times New Roman"/>
          <w:sz w:val="24"/>
          <w:szCs w:val="24"/>
        </w:rPr>
        <w:t xml:space="preserve"> что </w:t>
      </w:r>
      <w:r w:rsidR="00D7188C">
        <w:rPr>
          <w:rFonts w:ascii="Times New Roman" w:hAnsi="Times New Roman" w:cs="Times New Roman"/>
          <w:sz w:val="24"/>
          <w:szCs w:val="24"/>
        </w:rPr>
        <w:t xml:space="preserve">в основном населённые пункты  это сёла, за исключением р.п. </w:t>
      </w:r>
      <w:r w:rsidR="001C32E1">
        <w:rPr>
          <w:rFonts w:ascii="Times New Roman" w:hAnsi="Times New Roman" w:cs="Times New Roman"/>
          <w:sz w:val="24"/>
          <w:szCs w:val="24"/>
        </w:rPr>
        <w:t>Т</w:t>
      </w:r>
      <w:r w:rsidR="00D7188C">
        <w:rPr>
          <w:rFonts w:ascii="Times New Roman" w:hAnsi="Times New Roman" w:cs="Times New Roman"/>
          <w:sz w:val="24"/>
          <w:szCs w:val="24"/>
        </w:rPr>
        <w:t>аврическое</w:t>
      </w:r>
      <w:r w:rsidR="001C32E1">
        <w:rPr>
          <w:rFonts w:ascii="Times New Roman" w:hAnsi="Times New Roman" w:cs="Times New Roman"/>
          <w:sz w:val="24"/>
          <w:szCs w:val="24"/>
        </w:rPr>
        <w:t xml:space="preserve"> и население занято производством сельскохозяйственной продукции в личных подсобных хозяйствах</w:t>
      </w:r>
      <w:r w:rsidR="00C854D6">
        <w:rPr>
          <w:rFonts w:ascii="Times New Roman" w:hAnsi="Times New Roman" w:cs="Times New Roman"/>
          <w:sz w:val="24"/>
          <w:szCs w:val="24"/>
        </w:rPr>
        <w:t xml:space="preserve"> </w:t>
      </w:r>
      <w:r w:rsidR="00C854D6" w:rsidRPr="00FF46CE">
        <w:rPr>
          <w:rFonts w:ascii="Times New Roman" w:hAnsi="Times New Roman" w:cs="Times New Roman"/>
          <w:sz w:val="24"/>
          <w:szCs w:val="24"/>
        </w:rPr>
        <w:t xml:space="preserve">(Рис. </w:t>
      </w:r>
      <w:r w:rsidR="00C854D6">
        <w:rPr>
          <w:rFonts w:ascii="Times New Roman" w:hAnsi="Times New Roman" w:cs="Times New Roman"/>
          <w:sz w:val="24"/>
          <w:szCs w:val="24"/>
        </w:rPr>
        <w:t>1</w:t>
      </w:r>
      <w:r w:rsidR="00C854D6" w:rsidRPr="00FF46CE">
        <w:rPr>
          <w:rFonts w:ascii="Times New Roman" w:hAnsi="Times New Roman" w:cs="Times New Roman"/>
          <w:sz w:val="24"/>
          <w:szCs w:val="24"/>
        </w:rPr>
        <w:t>).</w:t>
      </w:r>
      <w:r w:rsidR="00C854D6">
        <w:rPr>
          <w:rFonts w:ascii="Times New Roman" w:hAnsi="Times New Roman" w:cs="Times New Roman"/>
          <w:sz w:val="24"/>
          <w:szCs w:val="24"/>
        </w:rPr>
        <w:t xml:space="preserve"> В</w:t>
      </w:r>
      <w:r w:rsidRPr="00FF46CE">
        <w:rPr>
          <w:rFonts w:ascii="Times New Roman" w:hAnsi="Times New Roman" w:cs="Times New Roman"/>
          <w:sz w:val="24"/>
          <w:szCs w:val="24"/>
        </w:rPr>
        <w:t>торо</w:t>
      </w:r>
      <w:r w:rsidR="00C854D6">
        <w:rPr>
          <w:rFonts w:ascii="Times New Roman" w:hAnsi="Times New Roman" w:cs="Times New Roman"/>
          <w:sz w:val="24"/>
          <w:szCs w:val="24"/>
        </w:rPr>
        <w:t>е</w:t>
      </w:r>
      <w:r w:rsidRPr="00FF46CE">
        <w:rPr>
          <w:rFonts w:ascii="Times New Roman" w:hAnsi="Times New Roman" w:cs="Times New Roman"/>
          <w:sz w:val="24"/>
          <w:szCs w:val="24"/>
        </w:rPr>
        <w:t xml:space="preserve"> мест</w:t>
      </w:r>
      <w:r w:rsidR="00C854D6">
        <w:rPr>
          <w:rFonts w:ascii="Times New Roman" w:hAnsi="Times New Roman" w:cs="Times New Roman"/>
          <w:sz w:val="24"/>
          <w:szCs w:val="24"/>
        </w:rPr>
        <w:t>о</w:t>
      </w:r>
      <w:r w:rsidRPr="00FF46CE">
        <w:rPr>
          <w:rFonts w:ascii="Times New Roman" w:hAnsi="Times New Roman" w:cs="Times New Roman"/>
          <w:sz w:val="24"/>
          <w:szCs w:val="24"/>
        </w:rPr>
        <w:t xml:space="preserve"> по площади занимают </w:t>
      </w:r>
      <w:r w:rsidR="00AA7B3E">
        <w:rPr>
          <w:rFonts w:ascii="Times New Roman" w:hAnsi="Times New Roman" w:cs="Times New Roman"/>
          <w:sz w:val="24"/>
          <w:szCs w:val="24"/>
        </w:rPr>
        <w:t>земли под дорогами 826 га (14%).</w:t>
      </w:r>
      <w:r w:rsidR="00AA7B3E" w:rsidRPr="00AA7B3E">
        <w:rPr>
          <w:rFonts w:ascii="Times New Roman" w:hAnsi="Times New Roman" w:cs="Times New Roman"/>
          <w:sz w:val="24"/>
          <w:szCs w:val="24"/>
        </w:rPr>
        <w:t xml:space="preserve"> </w:t>
      </w:r>
      <w:r w:rsidR="00C91550" w:rsidRPr="00FF46CE">
        <w:rPr>
          <w:rFonts w:ascii="Times New Roman" w:hAnsi="Times New Roman" w:cs="Times New Roman"/>
          <w:sz w:val="24"/>
          <w:szCs w:val="24"/>
        </w:rPr>
        <w:t xml:space="preserve">На третьем месте земли застройки 11 %. </w:t>
      </w:r>
      <w:r w:rsidR="00C91550">
        <w:rPr>
          <w:rFonts w:ascii="Times New Roman" w:hAnsi="Times New Roman" w:cs="Times New Roman"/>
          <w:sz w:val="24"/>
          <w:szCs w:val="24"/>
        </w:rPr>
        <w:t>П</w:t>
      </w:r>
      <w:r w:rsidR="00C91550" w:rsidRPr="00FF46CE">
        <w:rPr>
          <w:rFonts w:ascii="Times New Roman" w:hAnsi="Times New Roman" w:cs="Times New Roman"/>
          <w:sz w:val="24"/>
          <w:szCs w:val="24"/>
        </w:rPr>
        <w:t>о статистическим данным Росстата</w:t>
      </w:r>
      <w:r w:rsidR="00C91550">
        <w:rPr>
          <w:rFonts w:ascii="Times New Roman" w:hAnsi="Times New Roman" w:cs="Times New Roman"/>
          <w:sz w:val="24"/>
          <w:szCs w:val="24"/>
        </w:rPr>
        <w:t xml:space="preserve"> на первое января 2013 года</w:t>
      </w:r>
      <w:r w:rsidR="00C91550" w:rsidRPr="00FF46CE">
        <w:rPr>
          <w:rFonts w:ascii="Times New Roman" w:hAnsi="Times New Roman" w:cs="Times New Roman"/>
          <w:sz w:val="24"/>
          <w:szCs w:val="24"/>
        </w:rPr>
        <w:t xml:space="preserve"> на каждого третьего человека в Таврическом районе приходится одно ЛПХ (население района 36 тыс. чел, ЛПХ 12 тыс.)</w:t>
      </w:r>
      <w:r w:rsidR="00C91550">
        <w:rPr>
          <w:rFonts w:ascii="Times New Roman" w:hAnsi="Times New Roman" w:cs="Times New Roman"/>
          <w:sz w:val="24"/>
          <w:szCs w:val="24"/>
        </w:rPr>
        <w:t>.</w:t>
      </w:r>
      <w:r w:rsidR="00C91550" w:rsidRPr="00FF46CE">
        <w:rPr>
          <w:rFonts w:ascii="Times New Roman" w:hAnsi="Times New Roman" w:cs="Times New Roman"/>
          <w:sz w:val="24"/>
          <w:szCs w:val="24"/>
        </w:rPr>
        <w:t xml:space="preserve"> </w:t>
      </w:r>
      <w:r w:rsidR="00C91550">
        <w:rPr>
          <w:rFonts w:ascii="Times New Roman" w:hAnsi="Times New Roman" w:cs="Times New Roman"/>
          <w:sz w:val="24"/>
          <w:szCs w:val="24"/>
        </w:rPr>
        <w:t>Четыре процента  от общей площади земель населённых пунктов занимают болота, нарушенные и прочие земли, 3% занимают лесные площади и насаждения, не входящие в лесной фонд, это говорит о том,  что часть территорий населённых пунктов подвержена подтоплению и заболачиваемости.</w:t>
      </w:r>
    </w:p>
    <w:p w:rsidR="003F4D4E" w:rsidRDefault="008656F0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366395</wp:posOffset>
            </wp:positionH>
            <wp:positionV relativeFrom="margin">
              <wp:posOffset>-100330</wp:posOffset>
            </wp:positionV>
            <wp:extent cx="5012055" cy="2417445"/>
            <wp:effectExtent l="38100" t="76200" r="55245" b="1905"/>
            <wp:wrapSquare wrapText="bothSides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90A4A" w:rsidRPr="00ED332E" w:rsidRDefault="00B90A4A" w:rsidP="00ED3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0A4A" w:rsidRDefault="00B90A4A" w:rsidP="00B90A4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0A4A" w:rsidRDefault="00B90A4A" w:rsidP="00B90A4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32E1" w:rsidRDefault="001C32E1" w:rsidP="008555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32E1" w:rsidRDefault="001C32E1" w:rsidP="008555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32E1" w:rsidRDefault="001C32E1" w:rsidP="008555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32E1" w:rsidRDefault="001C32E1" w:rsidP="008555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0A4A" w:rsidRDefault="00B90A4A" w:rsidP="008555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6CE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FF4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55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F46CE">
        <w:rPr>
          <w:rFonts w:ascii="Times New Roman" w:hAnsi="Times New Roman" w:cs="Times New Roman"/>
          <w:bCs/>
          <w:i/>
          <w:sz w:val="24"/>
          <w:szCs w:val="24"/>
        </w:rPr>
        <w:t>Состав земель населенных пунктов в Таврическом районе</w:t>
      </w:r>
      <w:r w:rsidR="00C915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90A4A" w:rsidRDefault="00B90A4A" w:rsidP="00855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6CE">
        <w:rPr>
          <w:rFonts w:ascii="Times New Roman" w:hAnsi="Times New Roman" w:cs="Times New Roman"/>
          <w:sz w:val="24"/>
          <w:szCs w:val="24"/>
        </w:rPr>
        <w:t>По отчетным данным более половины (68%) земель населенных пунктов составляют сельскохозяйственные угодья, в том числе: 1749 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6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6CE">
        <w:rPr>
          <w:rFonts w:ascii="Times New Roman" w:hAnsi="Times New Roman" w:cs="Times New Roman"/>
          <w:sz w:val="24"/>
          <w:szCs w:val="24"/>
        </w:rPr>
        <w:t>пашня; 50 га – многолетние насаждения; 2278 га – естественные сельскохозяйственные кормовые угодья; 53 га – залежь</w:t>
      </w:r>
      <w:r w:rsidR="00755623" w:rsidRPr="00755623">
        <w:rPr>
          <w:rFonts w:ascii="Times New Roman" w:hAnsi="Times New Roman" w:cs="Times New Roman"/>
          <w:sz w:val="24"/>
          <w:szCs w:val="24"/>
        </w:rPr>
        <w:t xml:space="preserve"> [1]</w:t>
      </w:r>
      <w:r w:rsidRPr="00FF46CE">
        <w:rPr>
          <w:rFonts w:ascii="Times New Roman" w:hAnsi="Times New Roman" w:cs="Times New Roman"/>
          <w:sz w:val="24"/>
          <w:szCs w:val="24"/>
        </w:rPr>
        <w:t xml:space="preserve">. Пашня в населённых пунктах используется для огородничества, посадки картофеля. Кормовые угодья используются для пастьбы скота и сенокошения, многолетние насаждения – для коллективного садоводства. </w:t>
      </w:r>
      <w:r w:rsidR="00C91550">
        <w:rPr>
          <w:rFonts w:ascii="Times New Roman" w:hAnsi="Times New Roman" w:cs="Times New Roman"/>
          <w:sz w:val="24"/>
          <w:szCs w:val="24"/>
        </w:rPr>
        <w:t>С</w:t>
      </w:r>
      <w:r w:rsidRPr="00FF46CE">
        <w:rPr>
          <w:rFonts w:ascii="Times New Roman" w:hAnsi="Times New Roman" w:cs="Times New Roman"/>
          <w:sz w:val="24"/>
          <w:szCs w:val="24"/>
        </w:rPr>
        <w:t>енокосов и залежи в городских населенных пунктах нет.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550" w:rsidRPr="008B1C06" w:rsidRDefault="001C32E1" w:rsidP="00C9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занимают незначительную площадь  в районе </w:t>
      </w:r>
      <w:r w:rsidR="00A515B3"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15B3"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2101 га (0,7%).  К этой же категории отнесены земли под дорогами. </w:t>
      </w:r>
      <w:r w:rsidR="00C91550" w:rsidRPr="008B1C06">
        <w:rPr>
          <w:rFonts w:ascii="Times New Roman" w:hAnsi="Times New Roman" w:cs="Times New Roman"/>
          <w:sz w:val="24"/>
          <w:szCs w:val="24"/>
        </w:rPr>
        <w:t xml:space="preserve">В собственности района находится около 310 км дорог, из которых практически половина (49%) не отвечают нормам и требованиям. </w:t>
      </w:r>
    </w:p>
    <w:p w:rsidR="00BE4933" w:rsidRDefault="00A515B3" w:rsidP="00855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особо охраняемых территорий и объектов занимают 76 га (0,02%)</w:t>
      </w:r>
      <w:r w:rsidR="00BE4933"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земли </w:t>
      </w:r>
      <w:r w:rsidR="008B1C06" w:rsidRPr="008B1C06">
        <w:rPr>
          <w:rFonts w:ascii="Times New Roman" w:hAnsi="Times New Roman" w:cs="Times New Roman"/>
          <w:sz w:val="24"/>
          <w:szCs w:val="24"/>
        </w:rPr>
        <w:t xml:space="preserve">под  объектами культурного наследия в р.п. Таврическое, памятники регионального значения и памятник природы, расположенный близ деревни Черниговка (1га),  45 га площади земель данной категории занимают детский оздоровительный лагерь «Лесная поляна» в с. </w:t>
      </w:r>
      <w:proofErr w:type="spellStart"/>
      <w:r w:rsidR="008B1C06" w:rsidRPr="008B1C06">
        <w:rPr>
          <w:rFonts w:ascii="Times New Roman" w:hAnsi="Times New Roman" w:cs="Times New Roman"/>
          <w:sz w:val="24"/>
          <w:szCs w:val="24"/>
        </w:rPr>
        <w:t>Харламово</w:t>
      </w:r>
      <w:proofErr w:type="spellEnd"/>
      <w:r w:rsidR="008B1C06">
        <w:rPr>
          <w:rFonts w:ascii="Times New Roman" w:hAnsi="Times New Roman" w:cs="Times New Roman"/>
          <w:sz w:val="24"/>
          <w:szCs w:val="24"/>
        </w:rPr>
        <w:t xml:space="preserve"> </w:t>
      </w:r>
      <w:r w:rsidR="008B1C06" w:rsidRPr="008B1C06">
        <w:rPr>
          <w:rFonts w:ascii="Times New Roman" w:hAnsi="Times New Roman" w:cs="Times New Roman"/>
          <w:sz w:val="24"/>
          <w:szCs w:val="24"/>
        </w:rPr>
        <w:t xml:space="preserve"> и санаторий «Таврический», расположенный в двух к</w:t>
      </w:r>
      <w:r w:rsidR="008B1C06">
        <w:rPr>
          <w:rFonts w:ascii="Times New Roman" w:hAnsi="Times New Roman" w:cs="Times New Roman"/>
          <w:sz w:val="24"/>
          <w:szCs w:val="24"/>
        </w:rPr>
        <w:t>илометрах</w:t>
      </w:r>
      <w:r w:rsidR="008B1C06" w:rsidRPr="008B1C06">
        <w:rPr>
          <w:rFonts w:ascii="Times New Roman" w:hAnsi="Times New Roman" w:cs="Times New Roman"/>
          <w:sz w:val="24"/>
          <w:szCs w:val="24"/>
        </w:rPr>
        <w:t xml:space="preserve"> от р.п. Таврическое.</w:t>
      </w:r>
    </w:p>
    <w:p w:rsidR="00A515B3" w:rsidRPr="008B1C06" w:rsidRDefault="00A515B3" w:rsidP="00855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лесного фонда занимают в Таврическом районе 2165га (0,7%) и представлены</w:t>
      </w:r>
      <w:r w:rsidR="00BE4933"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8B1C06" w:rsidRPr="008B1C06">
        <w:rPr>
          <w:rFonts w:ascii="Times New Roman" w:hAnsi="Times New Roman" w:cs="Times New Roman"/>
          <w:sz w:val="24"/>
          <w:szCs w:val="24"/>
        </w:rPr>
        <w:t>Степным лесничеством</w:t>
      </w:r>
      <w:r w:rsidR="008B1C06">
        <w:rPr>
          <w:rFonts w:ascii="Times New Roman" w:hAnsi="Times New Roman" w:cs="Times New Roman"/>
          <w:sz w:val="24"/>
          <w:szCs w:val="24"/>
        </w:rPr>
        <w:t xml:space="preserve">. </w:t>
      </w:r>
      <w:r w:rsidR="008B1C06" w:rsidRPr="008B1C06">
        <w:rPr>
          <w:rFonts w:ascii="Times New Roman" w:hAnsi="Times New Roman" w:cs="Times New Roman"/>
          <w:sz w:val="24"/>
          <w:szCs w:val="24"/>
        </w:rPr>
        <w:t xml:space="preserve">Степной лесхоз в свою очередь осуществляет </w:t>
      </w:r>
      <w:proofErr w:type="gramStart"/>
      <w:r w:rsidR="008B1C06" w:rsidRPr="008B1C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B1C06" w:rsidRPr="008B1C06">
        <w:rPr>
          <w:rFonts w:ascii="Times New Roman" w:hAnsi="Times New Roman" w:cs="Times New Roman"/>
          <w:sz w:val="24"/>
          <w:szCs w:val="24"/>
        </w:rPr>
        <w:t xml:space="preserve"> использованием и учетом лесного фонда</w:t>
      </w:r>
      <w:r w:rsidR="008B1C06">
        <w:rPr>
          <w:rFonts w:ascii="Times New Roman" w:hAnsi="Times New Roman" w:cs="Times New Roman"/>
          <w:sz w:val="24"/>
          <w:szCs w:val="24"/>
        </w:rPr>
        <w:t>, который является государственной собственностью.</w:t>
      </w:r>
      <w:r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15B3" w:rsidRPr="00A515B3" w:rsidRDefault="00A515B3" w:rsidP="00855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 запаса составляют 603 га (0,2%)</w:t>
      </w:r>
      <w:r w:rsidR="00BE4933"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B1C06" w:rsidRP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почти</w:t>
      </w:r>
      <w:r w:rsidR="008B1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участки - это</w:t>
      </w:r>
      <w:r w:rsidR="00BE4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земли сельскохозяйственных угодий, не востребованных из-за низкого плодородия</w:t>
      </w:r>
      <w:r w:rsidR="00152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604B0" w:rsidRDefault="00C604B0" w:rsidP="00BE4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Сельскохозяйственные предприятия, учреждения и организации, а также граждане, занимаю</w:t>
      </w:r>
      <w:r w:rsidR="00BE4933">
        <w:rPr>
          <w:rFonts w:ascii="Times New Roman" w:hAnsi="Times New Roman" w:cs="Times New Roman"/>
          <w:sz w:val="24"/>
          <w:szCs w:val="24"/>
        </w:rPr>
        <w:t>щиеся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 w:rsidR="00BE4933">
        <w:rPr>
          <w:rFonts w:ascii="Times New Roman" w:hAnsi="Times New Roman" w:cs="Times New Roman"/>
          <w:sz w:val="24"/>
          <w:szCs w:val="24"/>
        </w:rPr>
        <w:t>ым производством</w:t>
      </w:r>
      <w:r>
        <w:rPr>
          <w:rFonts w:ascii="Times New Roman" w:hAnsi="Times New Roman" w:cs="Times New Roman"/>
          <w:sz w:val="24"/>
          <w:szCs w:val="24"/>
        </w:rPr>
        <w:t>, являются главными пользователями</w:t>
      </w:r>
      <w:r w:rsidR="00BE4933">
        <w:rPr>
          <w:rFonts w:ascii="Times New Roman" w:hAnsi="Times New Roman" w:cs="Times New Roman"/>
          <w:sz w:val="24"/>
          <w:szCs w:val="24"/>
        </w:rPr>
        <w:t xml:space="preserve"> земель </w:t>
      </w:r>
      <w:r w:rsidR="00D7188C">
        <w:rPr>
          <w:rFonts w:ascii="Times New Roman" w:hAnsi="Times New Roman" w:cs="Times New Roman"/>
          <w:sz w:val="24"/>
          <w:szCs w:val="24"/>
        </w:rPr>
        <w:t xml:space="preserve"> в районе</w:t>
      </w:r>
      <w:r>
        <w:rPr>
          <w:rFonts w:ascii="Times New Roman" w:hAnsi="Times New Roman" w:cs="Times New Roman"/>
          <w:sz w:val="24"/>
          <w:szCs w:val="24"/>
        </w:rPr>
        <w:t>. В их владении, собственности и пользовании находится 1111 га сельскохозяйственных угодий.</w:t>
      </w:r>
      <w:r w:rsidR="00213933">
        <w:rPr>
          <w:rFonts w:ascii="Times New Roman" w:hAnsi="Times New Roman" w:cs="Times New Roman"/>
          <w:sz w:val="24"/>
          <w:szCs w:val="24"/>
        </w:rPr>
        <w:t xml:space="preserve"> По данным статистического наблюдения на первое января 2015 год в собственности юр</w:t>
      </w:r>
      <w:r w:rsidR="008C2B3E">
        <w:rPr>
          <w:rFonts w:ascii="Times New Roman" w:hAnsi="Times New Roman" w:cs="Times New Roman"/>
          <w:sz w:val="24"/>
          <w:szCs w:val="24"/>
        </w:rPr>
        <w:t xml:space="preserve">идических </w:t>
      </w:r>
      <w:r w:rsidR="00213933">
        <w:rPr>
          <w:rFonts w:ascii="Times New Roman" w:hAnsi="Times New Roman" w:cs="Times New Roman"/>
          <w:sz w:val="24"/>
          <w:szCs w:val="24"/>
        </w:rPr>
        <w:t xml:space="preserve">лиц и в собственности граждан имеется 132726 га (ок.48% земельного фонда района). Распределение </w:t>
      </w:r>
      <w:r w:rsidR="00BE4933">
        <w:rPr>
          <w:rFonts w:ascii="Times New Roman" w:hAnsi="Times New Roman" w:cs="Times New Roman"/>
          <w:sz w:val="24"/>
          <w:szCs w:val="24"/>
        </w:rPr>
        <w:t>всех категорий земель по формам собственности</w:t>
      </w:r>
      <w:r w:rsidR="00213933">
        <w:rPr>
          <w:rFonts w:ascii="Times New Roman" w:hAnsi="Times New Roman" w:cs="Times New Roman"/>
          <w:sz w:val="24"/>
          <w:szCs w:val="24"/>
        </w:rPr>
        <w:t xml:space="preserve"> </w:t>
      </w:r>
      <w:r w:rsidR="003D42BC">
        <w:rPr>
          <w:rFonts w:ascii="Times New Roman" w:hAnsi="Times New Roman" w:cs="Times New Roman"/>
          <w:sz w:val="24"/>
          <w:szCs w:val="24"/>
        </w:rPr>
        <w:t xml:space="preserve">отображено в </w:t>
      </w:r>
      <w:r w:rsidR="00BE4933">
        <w:rPr>
          <w:rFonts w:ascii="Times New Roman" w:hAnsi="Times New Roman" w:cs="Times New Roman"/>
          <w:sz w:val="24"/>
          <w:szCs w:val="24"/>
        </w:rPr>
        <w:t>т</w:t>
      </w:r>
      <w:r w:rsidR="003D42BC">
        <w:rPr>
          <w:rFonts w:ascii="Times New Roman" w:hAnsi="Times New Roman" w:cs="Times New Roman"/>
          <w:sz w:val="24"/>
          <w:szCs w:val="24"/>
        </w:rPr>
        <w:t>абл</w:t>
      </w:r>
      <w:r w:rsidR="00BE4933">
        <w:rPr>
          <w:rFonts w:ascii="Times New Roman" w:hAnsi="Times New Roman" w:cs="Times New Roman"/>
          <w:sz w:val="24"/>
          <w:szCs w:val="24"/>
        </w:rPr>
        <w:t xml:space="preserve">ице </w:t>
      </w:r>
      <w:r w:rsidR="003D42BC">
        <w:rPr>
          <w:rFonts w:ascii="Times New Roman" w:hAnsi="Times New Roman" w:cs="Times New Roman"/>
          <w:sz w:val="24"/>
          <w:szCs w:val="24"/>
        </w:rPr>
        <w:t>2.</w:t>
      </w:r>
    </w:p>
    <w:p w:rsidR="00E91557" w:rsidRPr="00FF46CE" w:rsidRDefault="00E91557" w:rsidP="00BE4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2E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173A68">
        <w:rPr>
          <w:rFonts w:ascii="Times New Roman" w:hAnsi="Times New Roman" w:cs="Times New Roman"/>
          <w:sz w:val="24"/>
          <w:szCs w:val="24"/>
        </w:rPr>
        <w:t>ое производство</w:t>
      </w:r>
      <w:r w:rsidRPr="00ED332E">
        <w:rPr>
          <w:rFonts w:ascii="Times New Roman" w:hAnsi="Times New Roman" w:cs="Times New Roman"/>
          <w:sz w:val="24"/>
          <w:szCs w:val="24"/>
        </w:rPr>
        <w:t xml:space="preserve">, легкая промышленность и </w:t>
      </w:r>
      <w:r w:rsidR="00173A68">
        <w:rPr>
          <w:rFonts w:ascii="Times New Roman" w:hAnsi="Times New Roman" w:cs="Times New Roman"/>
          <w:sz w:val="24"/>
          <w:szCs w:val="24"/>
        </w:rPr>
        <w:t xml:space="preserve">переработка </w:t>
      </w:r>
      <w:r w:rsidRPr="00ED332E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173A68">
        <w:rPr>
          <w:rFonts w:ascii="Times New Roman" w:hAnsi="Times New Roman" w:cs="Times New Roman"/>
          <w:sz w:val="24"/>
          <w:szCs w:val="24"/>
        </w:rPr>
        <w:t>ой</w:t>
      </w:r>
      <w:r w:rsidRPr="00ED332E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173A68">
        <w:rPr>
          <w:rFonts w:ascii="Times New Roman" w:hAnsi="Times New Roman" w:cs="Times New Roman"/>
          <w:sz w:val="24"/>
          <w:szCs w:val="24"/>
        </w:rPr>
        <w:t>и</w:t>
      </w:r>
      <w:r w:rsidRPr="00ED332E">
        <w:rPr>
          <w:rFonts w:ascii="Times New Roman" w:hAnsi="Times New Roman" w:cs="Times New Roman"/>
          <w:sz w:val="24"/>
          <w:szCs w:val="24"/>
        </w:rPr>
        <w:t xml:space="preserve"> – </w:t>
      </w:r>
      <w:r w:rsidR="00173A68">
        <w:rPr>
          <w:rFonts w:ascii="Times New Roman" w:hAnsi="Times New Roman" w:cs="Times New Roman"/>
          <w:sz w:val="24"/>
          <w:szCs w:val="24"/>
        </w:rPr>
        <w:t>основные отрасли, на которых</w:t>
      </w:r>
      <w:r w:rsidRPr="00ED332E">
        <w:rPr>
          <w:rFonts w:ascii="Times New Roman" w:hAnsi="Times New Roman" w:cs="Times New Roman"/>
          <w:sz w:val="24"/>
          <w:szCs w:val="24"/>
        </w:rPr>
        <w:t xml:space="preserve"> базируется экономика Таврического района</w:t>
      </w:r>
      <w:r w:rsidR="00173A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Преимуществ</w:t>
      </w:r>
      <w:r w:rsidR="00387508">
        <w:rPr>
          <w:rFonts w:ascii="Times New Roman" w:hAnsi="Times New Roman" w:cs="Times New Roman"/>
          <w:sz w:val="24"/>
          <w:szCs w:val="24"/>
        </w:rPr>
        <w:t xml:space="preserve">енными </w:t>
      </w:r>
      <w:r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387508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специализаци</w:t>
      </w:r>
      <w:r w:rsidR="0038750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38750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молочное и зерновое производство.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</w:t>
      </w:r>
      <w:r w:rsidR="00387508">
        <w:rPr>
          <w:rFonts w:ascii="Times New Roman" w:hAnsi="Times New Roman" w:cs="Times New Roman"/>
          <w:sz w:val="24"/>
          <w:szCs w:val="24"/>
        </w:rPr>
        <w:t xml:space="preserve">ые  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8750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которые выращиваются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на территории района</w:t>
      </w:r>
      <w:r w:rsidR="00387508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 зерновые (пшеница, овес, ячмень) и масличные (подсолнечник, рапс, лен), а также кормовые и овощные.</w:t>
      </w:r>
      <w:proofErr w:type="gramEnd"/>
    </w:p>
    <w:p w:rsidR="00E91557" w:rsidRDefault="00E91557" w:rsidP="00E91557">
      <w:pPr>
        <w:pStyle w:val="a9"/>
        <w:spacing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E4933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p w:rsidR="00251845" w:rsidRPr="00251845" w:rsidRDefault="00251845" w:rsidP="00251845">
      <w:pPr>
        <w:pStyle w:val="a9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45">
        <w:rPr>
          <w:rFonts w:ascii="Times New Roman" w:hAnsi="Times New Roman" w:cs="Times New Roman"/>
          <w:b/>
          <w:sz w:val="24"/>
          <w:szCs w:val="24"/>
        </w:rPr>
        <w:t>Распределение всех категорий земель по формам собственности</w:t>
      </w:r>
    </w:p>
    <w:tbl>
      <w:tblPr>
        <w:tblpPr w:leftFromText="180" w:rightFromText="180" w:vertAnchor="page" w:horzAnchor="margin" w:tblpY="2596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13"/>
        <w:gridCol w:w="1314"/>
        <w:gridCol w:w="1420"/>
        <w:gridCol w:w="1510"/>
        <w:gridCol w:w="1616"/>
      </w:tblGrid>
      <w:tr w:rsidR="002337B3" w:rsidRPr="00A450C6" w:rsidTr="002337B3">
        <w:trPr>
          <w:trHeight w:val="973"/>
        </w:trPr>
        <w:tc>
          <w:tcPr>
            <w:tcW w:w="27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7B3" w:rsidRPr="00A450C6" w:rsidRDefault="002337B3" w:rsidP="002337B3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земель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84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</w:tr>
      <w:tr w:rsidR="002337B3" w:rsidRPr="00A450C6" w:rsidTr="002337B3">
        <w:trPr>
          <w:trHeight w:val="480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назначения, в том числе: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262600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100524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30303</w:t>
            </w: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131773</w:t>
            </w:r>
          </w:p>
        </w:tc>
      </w:tr>
      <w:tr w:rsidR="002337B3" w:rsidRPr="00A450C6" w:rsidTr="002337B3">
        <w:trPr>
          <w:trHeight w:val="25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BE4933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BE4933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в том числе: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BE4933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6044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BE4933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BE4933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BE4933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4157</w:t>
            </w:r>
          </w:p>
        </w:tc>
      </w:tr>
      <w:tr w:rsidR="002337B3" w:rsidRPr="00A450C6" w:rsidTr="002337B3">
        <w:trPr>
          <w:trHeight w:val="33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энер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гетики и иного специального назначения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</w:t>
            </w:r>
          </w:p>
        </w:tc>
      </w:tr>
      <w:tr w:rsidR="002337B3" w:rsidRPr="00A450C6" w:rsidTr="002337B3">
        <w:trPr>
          <w:trHeight w:val="25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2337B3" w:rsidRPr="00A450C6" w:rsidTr="002337B3">
        <w:trPr>
          <w:trHeight w:val="25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2337B3" w:rsidRPr="00A450C6" w:rsidTr="002337B3">
        <w:trPr>
          <w:trHeight w:val="25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37B3" w:rsidRPr="00A450C6" w:rsidTr="002337B3">
        <w:trPr>
          <w:trHeight w:val="25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</w:tr>
      <w:tr w:rsidR="002337B3" w:rsidRPr="00A450C6" w:rsidTr="002337B3">
        <w:trPr>
          <w:trHeight w:val="255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земель в административных границах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273589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102397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30329</w:t>
            </w: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140863</w:t>
            </w:r>
          </w:p>
        </w:tc>
      </w:tr>
      <w:tr w:rsidR="002337B3" w:rsidRPr="00A450C6" w:rsidTr="002337B3">
        <w:trPr>
          <w:trHeight w:val="549"/>
        </w:trPr>
        <w:tc>
          <w:tcPr>
            <w:tcW w:w="278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2" w:type="pct"/>
            <w:shd w:val="clear" w:color="auto" w:fill="auto"/>
            <w:hideMark/>
          </w:tcPr>
          <w:p w:rsidR="002337B3" w:rsidRPr="00A450C6" w:rsidRDefault="002337B3" w:rsidP="0023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всех земель: земли природоохранного назначения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:rsidR="002337B3" w:rsidRPr="00A450C6" w:rsidRDefault="002337B3" w:rsidP="0023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</w:tbl>
    <w:p w:rsidR="00E91557" w:rsidRDefault="00E91557" w:rsidP="00E91557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A7B3E" w:rsidRPr="00152084" w:rsidRDefault="006F06F2" w:rsidP="00AA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Зерновые - </w:t>
      </w:r>
      <w:r w:rsidR="009F2329" w:rsidRPr="00ED332E">
        <w:rPr>
          <w:rFonts w:ascii="Times New Roman" w:hAnsi="Times New Roman" w:cs="Times New Roman"/>
          <w:sz w:val="24"/>
          <w:szCs w:val="24"/>
        </w:rPr>
        <w:t xml:space="preserve">важнейшая группа возделываемых растений, дающих зерно, основной продукт питания человека, сырьё для многих отраслей промышленности и корма для сельскохозяйственных животных. </w:t>
      </w:r>
      <w:r w:rsidR="009F2329">
        <w:rPr>
          <w:rFonts w:ascii="Times New Roman" w:hAnsi="Times New Roman" w:cs="Times New Roman"/>
          <w:sz w:val="24"/>
          <w:szCs w:val="24"/>
        </w:rPr>
        <w:t xml:space="preserve">Крупные сельскохозяйственные организации в основном занимаются производством молока, а ЛПХ заготовкой мяса. </w:t>
      </w:r>
      <w:r w:rsidR="00B90A4A" w:rsidRPr="00ED332E">
        <w:rPr>
          <w:rFonts w:ascii="Times New Roman" w:hAnsi="Times New Roman" w:cs="Times New Roman"/>
          <w:sz w:val="24"/>
          <w:szCs w:val="24"/>
        </w:rPr>
        <w:t xml:space="preserve">В 2011 году по отчетным данным портала Омская губерния было зарегистрировано девять крупных товаропроизводителей </w:t>
      </w:r>
      <w:r w:rsidR="00387508">
        <w:rPr>
          <w:rFonts w:ascii="Times New Roman" w:hAnsi="Times New Roman" w:cs="Times New Roman"/>
          <w:sz w:val="24"/>
          <w:szCs w:val="24"/>
        </w:rPr>
        <w:t xml:space="preserve">в </w:t>
      </w:r>
      <w:r w:rsidR="00B90A4A" w:rsidRPr="00ED332E">
        <w:rPr>
          <w:rFonts w:ascii="Times New Roman" w:hAnsi="Times New Roman" w:cs="Times New Roman"/>
          <w:sz w:val="24"/>
          <w:szCs w:val="24"/>
        </w:rPr>
        <w:t>Таврическо</w:t>
      </w:r>
      <w:r w:rsidR="00387508">
        <w:rPr>
          <w:rFonts w:ascii="Times New Roman" w:hAnsi="Times New Roman" w:cs="Times New Roman"/>
          <w:sz w:val="24"/>
          <w:szCs w:val="24"/>
        </w:rPr>
        <w:t>м</w:t>
      </w:r>
      <w:r w:rsidR="00B90A4A" w:rsidRPr="00ED332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87508">
        <w:rPr>
          <w:rFonts w:ascii="Times New Roman" w:hAnsi="Times New Roman" w:cs="Times New Roman"/>
          <w:sz w:val="24"/>
          <w:szCs w:val="24"/>
        </w:rPr>
        <w:t>м</w:t>
      </w:r>
      <w:r w:rsidR="00B90A4A" w:rsidRPr="00ED332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7508">
        <w:rPr>
          <w:rFonts w:ascii="Times New Roman" w:hAnsi="Times New Roman" w:cs="Times New Roman"/>
          <w:sz w:val="24"/>
          <w:szCs w:val="24"/>
        </w:rPr>
        <w:t>е</w:t>
      </w:r>
      <w:r w:rsidR="00B90A4A" w:rsidRPr="00ED332E">
        <w:rPr>
          <w:rFonts w:ascii="Times New Roman" w:hAnsi="Times New Roman" w:cs="Times New Roman"/>
          <w:sz w:val="24"/>
          <w:szCs w:val="24"/>
        </w:rPr>
        <w:t>.</w:t>
      </w:r>
      <w:r w:rsidR="00D40910">
        <w:rPr>
          <w:rFonts w:ascii="Times New Roman" w:hAnsi="Times New Roman" w:cs="Times New Roman"/>
          <w:sz w:val="24"/>
          <w:szCs w:val="24"/>
        </w:rPr>
        <w:t xml:space="preserve"> По состоянию на 01 января 2014 года таких сельскохозяйственных организаций насчитыва</w:t>
      </w:r>
      <w:r w:rsidR="00387508">
        <w:rPr>
          <w:rFonts w:ascii="Times New Roman" w:hAnsi="Times New Roman" w:cs="Times New Roman"/>
          <w:sz w:val="24"/>
          <w:szCs w:val="24"/>
        </w:rPr>
        <w:t>лось</w:t>
      </w:r>
      <w:r w:rsidR="00D40910">
        <w:rPr>
          <w:rFonts w:ascii="Times New Roman" w:hAnsi="Times New Roman" w:cs="Times New Roman"/>
          <w:sz w:val="24"/>
          <w:szCs w:val="24"/>
        </w:rPr>
        <w:t xml:space="preserve"> уже двенадцать</w:t>
      </w:r>
      <w:r w:rsidR="00387508">
        <w:rPr>
          <w:rFonts w:ascii="Times New Roman" w:hAnsi="Times New Roman" w:cs="Times New Roman"/>
          <w:sz w:val="24"/>
          <w:szCs w:val="24"/>
        </w:rPr>
        <w:t>, кроме того в районе</w:t>
      </w:r>
      <w:r w:rsidR="00D40910">
        <w:rPr>
          <w:rFonts w:ascii="Times New Roman" w:hAnsi="Times New Roman" w:cs="Times New Roman"/>
          <w:sz w:val="24"/>
          <w:szCs w:val="24"/>
        </w:rPr>
        <w:t xml:space="preserve"> насчитывается 76 </w:t>
      </w:r>
      <w:r w:rsidR="00387508">
        <w:rPr>
          <w:rFonts w:ascii="Times New Roman" w:hAnsi="Times New Roman" w:cs="Times New Roman"/>
          <w:sz w:val="24"/>
          <w:szCs w:val="24"/>
        </w:rPr>
        <w:t>крестьянско-фермерских хозяйств</w:t>
      </w:r>
      <w:r w:rsidR="00D40910">
        <w:rPr>
          <w:rFonts w:ascii="Times New Roman" w:hAnsi="Times New Roman" w:cs="Times New Roman"/>
          <w:sz w:val="24"/>
          <w:szCs w:val="24"/>
        </w:rPr>
        <w:t xml:space="preserve"> и около 13,4 тысяч </w:t>
      </w:r>
      <w:r w:rsidR="00387508">
        <w:rPr>
          <w:rFonts w:ascii="Times New Roman" w:hAnsi="Times New Roman" w:cs="Times New Roman"/>
          <w:sz w:val="24"/>
          <w:szCs w:val="24"/>
        </w:rPr>
        <w:t>личных подсобных хозяйств.</w:t>
      </w:r>
      <w:r w:rsidR="005452D7">
        <w:rPr>
          <w:rFonts w:ascii="Times New Roman" w:hAnsi="Times New Roman" w:cs="Times New Roman"/>
          <w:sz w:val="24"/>
          <w:szCs w:val="24"/>
        </w:rPr>
        <w:t xml:space="preserve"> </w:t>
      </w:r>
      <w:r w:rsidR="00387508">
        <w:rPr>
          <w:rFonts w:ascii="Times New Roman" w:hAnsi="Times New Roman" w:cs="Times New Roman"/>
          <w:sz w:val="24"/>
          <w:szCs w:val="24"/>
        </w:rPr>
        <w:t>Состояние экономики Таврического района отражается на доходах</w:t>
      </w:r>
      <w:r w:rsidR="00AA7B3E">
        <w:rPr>
          <w:rFonts w:ascii="Times New Roman" w:hAnsi="Times New Roman" w:cs="Times New Roman"/>
          <w:sz w:val="24"/>
          <w:szCs w:val="24"/>
        </w:rPr>
        <w:t xml:space="preserve"> населения. Так среднемесячная номинальная заработная плата в крупных и средних предприятиях составляет около 18820 рублей</w:t>
      </w:r>
      <w:r w:rsidR="00387508">
        <w:rPr>
          <w:rFonts w:ascii="Times New Roman" w:hAnsi="Times New Roman" w:cs="Times New Roman"/>
          <w:sz w:val="24"/>
          <w:szCs w:val="24"/>
        </w:rPr>
        <w:t xml:space="preserve"> </w:t>
      </w:r>
      <w:r w:rsidR="00387508" w:rsidRPr="00152084">
        <w:rPr>
          <w:rFonts w:ascii="Times New Roman" w:hAnsi="Times New Roman" w:cs="Times New Roman"/>
          <w:sz w:val="24"/>
          <w:szCs w:val="24"/>
        </w:rPr>
        <w:t>(201</w:t>
      </w:r>
      <w:r w:rsidR="00152084" w:rsidRPr="00152084">
        <w:rPr>
          <w:rFonts w:ascii="Times New Roman" w:hAnsi="Times New Roman" w:cs="Times New Roman"/>
          <w:sz w:val="24"/>
          <w:szCs w:val="24"/>
        </w:rPr>
        <w:t>5</w:t>
      </w:r>
      <w:r w:rsidR="00387508" w:rsidRPr="00152084">
        <w:rPr>
          <w:rFonts w:ascii="Times New Roman" w:hAnsi="Times New Roman" w:cs="Times New Roman"/>
          <w:sz w:val="24"/>
          <w:szCs w:val="24"/>
        </w:rPr>
        <w:t>г)</w:t>
      </w:r>
      <w:r w:rsidR="00AA7B3E" w:rsidRPr="00152084">
        <w:rPr>
          <w:rFonts w:ascii="Times New Roman" w:hAnsi="Times New Roman" w:cs="Times New Roman"/>
          <w:sz w:val="24"/>
          <w:szCs w:val="24"/>
        </w:rPr>
        <w:t>.</w:t>
      </w:r>
    </w:p>
    <w:p w:rsidR="006C0241" w:rsidRDefault="006C0241" w:rsidP="006C0241">
      <w:pPr>
        <w:suppressAutoHyphens/>
        <w:spacing w:after="0" w:line="240" w:lineRule="auto"/>
        <w:ind w:firstLine="709"/>
        <w:contextualSpacing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сельскохозяйственной продукции в районе  за период с 2008</w:t>
      </w:r>
      <w:r w:rsidR="00FD4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представлено на рисунке 2. На </w:t>
      </w:r>
      <w:r w:rsidR="00C51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урожайность и продуктивность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зерновых и зернобобовых культур </w:t>
      </w:r>
      <w:r w:rsidR="00C511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существенно влияют</w:t>
      </w:r>
      <w:r w:rsidRPr="00ED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природно-климатически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D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D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</w:t>
      </w:r>
      <w:r w:rsidRPr="00ED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D332E">
        <w:rPr>
          <w:rFonts w:ascii="Times New Roman" w:hAnsi="Times New Roman" w:cs="Times New Roman"/>
          <w:sz w:val="24"/>
          <w:szCs w:val="24"/>
        </w:rPr>
        <w:t xml:space="preserve">в основных зернопроизводящих хозяйствах </w:t>
      </w:r>
      <w:r w:rsidR="00C51116">
        <w:rPr>
          <w:rFonts w:ascii="Times New Roman" w:hAnsi="Times New Roman" w:cs="Times New Roman"/>
          <w:sz w:val="24"/>
          <w:szCs w:val="24"/>
        </w:rPr>
        <w:t xml:space="preserve">на </w:t>
      </w:r>
      <w:r w:rsidRPr="00ED332E">
        <w:rPr>
          <w:rFonts w:ascii="Times New Roman" w:hAnsi="Times New Roman" w:cs="Times New Roman"/>
          <w:sz w:val="24"/>
          <w:szCs w:val="24"/>
        </w:rPr>
        <w:t xml:space="preserve"> сокращение объемов производства продукции растениеводства в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51116">
        <w:rPr>
          <w:rFonts w:ascii="Times New Roman" w:hAnsi="Times New Roman" w:cs="Times New Roman"/>
          <w:sz w:val="24"/>
          <w:szCs w:val="24"/>
        </w:rPr>
        <w:t>повлияла засуха</w:t>
      </w:r>
      <w:r w:rsidRPr="00ED332E">
        <w:rPr>
          <w:rFonts w:ascii="Times New Roman" w:hAnsi="Times New Roman" w:cs="Times New Roman"/>
          <w:sz w:val="24"/>
          <w:szCs w:val="24"/>
        </w:rPr>
        <w:t>. Остальн</w:t>
      </w:r>
      <w:r w:rsidR="00C51116">
        <w:rPr>
          <w:rFonts w:ascii="Times New Roman" w:hAnsi="Times New Roman" w:cs="Times New Roman"/>
          <w:sz w:val="24"/>
          <w:szCs w:val="24"/>
        </w:rPr>
        <w:t xml:space="preserve">ые виды </w:t>
      </w:r>
      <w:r w:rsidRPr="00ED332E">
        <w:rPr>
          <w:rFonts w:ascii="Times New Roman" w:hAnsi="Times New Roman" w:cs="Times New Roman"/>
          <w:sz w:val="24"/>
          <w:szCs w:val="24"/>
        </w:rPr>
        <w:t>продукци</w:t>
      </w:r>
      <w:r w:rsidR="00C51116">
        <w:rPr>
          <w:rFonts w:ascii="Times New Roman" w:hAnsi="Times New Roman" w:cs="Times New Roman"/>
          <w:sz w:val="24"/>
          <w:szCs w:val="24"/>
        </w:rPr>
        <w:t>и</w:t>
      </w:r>
      <w:r w:rsidRPr="00ED332E">
        <w:rPr>
          <w:rFonts w:ascii="Times New Roman" w:hAnsi="Times New Roman" w:cs="Times New Roman"/>
          <w:sz w:val="24"/>
          <w:szCs w:val="24"/>
        </w:rPr>
        <w:t xml:space="preserve"> име</w:t>
      </w:r>
      <w:r w:rsidR="00C51116">
        <w:rPr>
          <w:rFonts w:ascii="Times New Roman" w:hAnsi="Times New Roman" w:cs="Times New Roman"/>
          <w:sz w:val="24"/>
          <w:szCs w:val="24"/>
        </w:rPr>
        <w:t>ю</w:t>
      </w:r>
      <w:r w:rsidRPr="00ED332E">
        <w:rPr>
          <w:rFonts w:ascii="Times New Roman" w:hAnsi="Times New Roman" w:cs="Times New Roman"/>
          <w:sz w:val="24"/>
          <w:szCs w:val="24"/>
        </w:rPr>
        <w:t>т стабильную</w:t>
      </w:r>
      <w:r w:rsidR="00C51116">
        <w:rPr>
          <w:rFonts w:ascii="Times New Roman" w:hAnsi="Times New Roman" w:cs="Times New Roman"/>
          <w:sz w:val="24"/>
          <w:szCs w:val="24"/>
        </w:rPr>
        <w:t xml:space="preserve"> продуктивность, незначительное снижение</w:t>
      </w:r>
      <w:r w:rsidRPr="00ED332E">
        <w:rPr>
          <w:rFonts w:ascii="Times New Roman" w:hAnsi="Times New Roman" w:cs="Times New Roman"/>
          <w:sz w:val="24"/>
          <w:szCs w:val="24"/>
        </w:rPr>
        <w:t xml:space="preserve"> наблюдается в </w:t>
      </w:r>
      <w:r w:rsidR="00C51116">
        <w:rPr>
          <w:rFonts w:ascii="Times New Roman" w:hAnsi="Times New Roman" w:cs="Times New Roman"/>
          <w:sz w:val="24"/>
          <w:szCs w:val="24"/>
        </w:rPr>
        <w:t>производстве</w:t>
      </w:r>
      <w:r w:rsidRPr="00ED332E">
        <w:rPr>
          <w:rFonts w:ascii="Times New Roman" w:hAnsi="Times New Roman" w:cs="Times New Roman"/>
          <w:sz w:val="24"/>
          <w:szCs w:val="24"/>
        </w:rPr>
        <w:t xml:space="preserve"> продукции скота и птицы и в молочном производстве.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C22" w:rsidRDefault="004C0C22" w:rsidP="004C0C22">
      <w:pPr>
        <w:suppressAutoHyphens/>
        <w:spacing w:after="0" w:line="240" w:lineRule="auto"/>
        <w:ind w:firstLine="709"/>
        <w:contextualSpacing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Таврического</w:t>
      </w:r>
      <w:r w:rsidRPr="0039267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создает условия для развития предпринимательской деятельности, малого и среднего бизнеса. По статистическим данным за трехлетний период (с 2010-2012 гг.) было отмечено десятикратное увеличение расходов на развитие и поддержку среднего и малого предпринимательства. Так в 2010 году расход составлял три рубля 90 коп в расчете на одного жителя муниципального образования,  в 2012 году - 33,4 рубля на одного жителя, земли  в 2010 предоставлялось – 20,4 га, а в 2011 году -  34,5 га</w:t>
      </w:r>
      <w:r w:rsidR="00755623" w:rsidRPr="00755623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. Неблагоприятные климатические условия сильно отражаются на экономике сельскохозяйственного района, местным властям приходится увеличивать расходы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поддержку предпринимательства, уменьшать налоговые сборы, выделять для строительства больше площадей с целью привлечения или сохранения населения района.</w:t>
      </w:r>
    </w:p>
    <w:p w:rsidR="008B1C06" w:rsidRDefault="008B1C06" w:rsidP="006C0241">
      <w:pPr>
        <w:suppressAutoHyphens/>
        <w:spacing w:after="0" w:line="240" w:lineRule="auto"/>
        <w:ind w:firstLine="709"/>
        <w:contextualSpacing/>
        <w:jc w:val="both"/>
        <w:outlineLvl w:val="8"/>
        <w:rPr>
          <w:rFonts w:ascii="Times New Roman" w:hAnsi="Times New Roman" w:cs="Times New Roman"/>
          <w:sz w:val="24"/>
          <w:szCs w:val="24"/>
        </w:rPr>
      </w:pPr>
    </w:p>
    <w:p w:rsidR="008B1C06" w:rsidRPr="00ED332E" w:rsidRDefault="008656F0" w:rsidP="008B1C06">
      <w:pPr>
        <w:pStyle w:val="af2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528320</wp:posOffset>
            </wp:positionV>
            <wp:extent cx="6029960" cy="3009900"/>
            <wp:effectExtent l="19050" t="0" r="27940" b="0"/>
            <wp:wrapSquare wrapText="bothSides"/>
            <wp:docPr id="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B1C06" w:rsidRPr="00ED33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Рис. </w:t>
      </w:r>
      <w:r w:rsidR="007152C6" w:rsidRPr="007152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="008B1C06" w:rsidRPr="00ED33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Реализация продукции сельскохозяйственными организациями в Таврическом муниципальном районе</w:t>
      </w:r>
    </w:p>
    <w:p w:rsidR="00830B98" w:rsidRDefault="00BE4933" w:rsidP="008B1C06">
      <w:pPr>
        <w:suppressAutoHyphens/>
        <w:spacing w:after="0" w:line="240" w:lineRule="auto"/>
        <w:ind w:firstLine="709"/>
        <w:contextualSpacing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компетенций </w:t>
      </w:r>
      <w:r w:rsidR="00DA50AB"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  <w:r>
        <w:rPr>
          <w:rFonts w:ascii="Times New Roman" w:hAnsi="Times New Roman" w:cs="Times New Roman"/>
          <w:sz w:val="24"/>
          <w:szCs w:val="24"/>
        </w:rPr>
        <w:t xml:space="preserve">Таврического района является установление, отмена и изменение местных налоговых сборов. </w:t>
      </w:r>
      <w:r w:rsidR="00047A8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дол</w:t>
      </w:r>
      <w:r w:rsidR="00047A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местного бюджета (в процентном отношении) в общем объеме собственных доходов, </w:t>
      </w:r>
      <w:r w:rsidR="00047A81">
        <w:rPr>
          <w:rFonts w:ascii="Times New Roman" w:hAnsi="Times New Roman" w:cs="Times New Roman"/>
          <w:sz w:val="24"/>
          <w:szCs w:val="24"/>
        </w:rPr>
        <w:t>составляла</w:t>
      </w:r>
      <w:r>
        <w:rPr>
          <w:rFonts w:ascii="Times New Roman" w:hAnsi="Times New Roman" w:cs="Times New Roman"/>
          <w:sz w:val="24"/>
          <w:szCs w:val="24"/>
        </w:rPr>
        <w:t xml:space="preserve"> в 2011 году 18,1%, </w:t>
      </w:r>
      <w:r w:rsidR="00047A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 w:rsidR="00047A81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>сократил</w:t>
      </w:r>
      <w:r w:rsidR="00047A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сь до 15,5%, а в 2014  до 14,3%</w:t>
      </w:r>
      <w:r w:rsidR="00755623" w:rsidRPr="00755623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7A81">
        <w:rPr>
          <w:rFonts w:ascii="Times New Roman" w:hAnsi="Times New Roman" w:cs="Times New Roman"/>
          <w:sz w:val="24"/>
          <w:szCs w:val="24"/>
        </w:rPr>
        <w:t>Такое изменение произошло из-за предоставления дополнительных льгот отдельным категориям граждан и сельхозпроизводителям.</w:t>
      </w:r>
    </w:p>
    <w:p w:rsidR="00DA50AB" w:rsidRDefault="00DA50AB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земли в Таврическом районе используются эффективно, т.к. 96% общей площади района используется в сельскохозяйственном производстве. Активно развиваются и функционируют различные формы землепользования – крупные сельскохозяйственные предприятия, крестьянско-фермерские хозяйства и личные подсобные хозяйства. </w:t>
      </w:r>
      <w:r w:rsidR="005E5D16">
        <w:rPr>
          <w:rFonts w:ascii="Times New Roman" w:hAnsi="Times New Roman" w:cs="Times New Roman"/>
          <w:sz w:val="24"/>
          <w:szCs w:val="24"/>
        </w:rPr>
        <w:t>Производство сельскохозяйственной продукции практически стабильно.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2D5">
        <w:rPr>
          <w:rFonts w:ascii="Times New Roman" w:hAnsi="Times New Roman" w:cs="Times New Roman"/>
          <w:sz w:val="24"/>
          <w:szCs w:val="24"/>
        </w:rPr>
        <w:t>Мероприятия по п</w:t>
      </w:r>
      <w:r w:rsidR="004C0C22">
        <w:rPr>
          <w:rFonts w:ascii="Times New Roman" w:hAnsi="Times New Roman" w:cs="Times New Roman"/>
          <w:sz w:val="24"/>
          <w:szCs w:val="24"/>
        </w:rPr>
        <w:t>оддержк</w:t>
      </w:r>
      <w:r w:rsidR="007712D5">
        <w:rPr>
          <w:rFonts w:ascii="Times New Roman" w:hAnsi="Times New Roman" w:cs="Times New Roman"/>
          <w:sz w:val="24"/>
          <w:szCs w:val="24"/>
        </w:rPr>
        <w:t>е</w:t>
      </w:r>
      <w:r w:rsidR="004C0C22">
        <w:rPr>
          <w:rFonts w:ascii="Times New Roman" w:hAnsi="Times New Roman" w:cs="Times New Roman"/>
          <w:sz w:val="24"/>
          <w:szCs w:val="24"/>
        </w:rPr>
        <w:t xml:space="preserve"> </w:t>
      </w:r>
      <w:r w:rsidR="005E5D16">
        <w:rPr>
          <w:rFonts w:ascii="Times New Roman" w:hAnsi="Times New Roman" w:cs="Times New Roman"/>
          <w:sz w:val="24"/>
          <w:szCs w:val="24"/>
        </w:rPr>
        <w:t xml:space="preserve">землепользователей Таврического района </w:t>
      </w:r>
      <w:r w:rsidR="004C0C22">
        <w:rPr>
          <w:rFonts w:ascii="Times New Roman" w:hAnsi="Times New Roman" w:cs="Times New Roman"/>
          <w:sz w:val="24"/>
          <w:szCs w:val="24"/>
        </w:rPr>
        <w:t>региональны</w:t>
      </w:r>
      <w:r w:rsidR="005E5D16">
        <w:rPr>
          <w:rFonts w:ascii="Times New Roman" w:hAnsi="Times New Roman" w:cs="Times New Roman"/>
          <w:sz w:val="24"/>
          <w:szCs w:val="24"/>
        </w:rPr>
        <w:t>ми</w:t>
      </w:r>
      <w:r w:rsidR="004C0C22">
        <w:rPr>
          <w:rFonts w:ascii="Times New Roman" w:hAnsi="Times New Roman" w:cs="Times New Roman"/>
          <w:sz w:val="24"/>
          <w:szCs w:val="24"/>
        </w:rPr>
        <w:t xml:space="preserve"> и муниципальны</w:t>
      </w:r>
      <w:r w:rsidR="005E5D16">
        <w:rPr>
          <w:rFonts w:ascii="Times New Roman" w:hAnsi="Times New Roman" w:cs="Times New Roman"/>
          <w:sz w:val="24"/>
          <w:szCs w:val="24"/>
        </w:rPr>
        <w:t>ми</w:t>
      </w:r>
      <w:r w:rsidR="004C0C2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5D16">
        <w:rPr>
          <w:rFonts w:ascii="Times New Roman" w:hAnsi="Times New Roman" w:cs="Times New Roman"/>
          <w:sz w:val="24"/>
          <w:szCs w:val="24"/>
        </w:rPr>
        <w:t>ами</w:t>
      </w:r>
      <w:r w:rsidR="004C0C22">
        <w:rPr>
          <w:rFonts w:ascii="Times New Roman" w:hAnsi="Times New Roman" w:cs="Times New Roman"/>
          <w:sz w:val="24"/>
          <w:szCs w:val="24"/>
        </w:rPr>
        <w:t xml:space="preserve"> в области земельно-имущественных отношений позволяет </w:t>
      </w:r>
      <w:r w:rsidR="005E5D16">
        <w:rPr>
          <w:rFonts w:ascii="Times New Roman" w:hAnsi="Times New Roman" w:cs="Times New Roman"/>
          <w:sz w:val="24"/>
          <w:szCs w:val="24"/>
        </w:rPr>
        <w:t>говорить о социальной эффективности управления земельными ресурсами.</w:t>
      </w:r>
    </w:p>
    <w:p w:rsidR="00AD7B40" w:rsidRPr="00AD7B40" w:rsidRDefault="00AD7B40" w:rsidP="00AD7B40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B40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AD7B40" w:rsidRPr="00DA1315" w:rsidRDefault="00827C91" w:rsidP="00AD7B4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7B40" w:rsidRPr="00DA131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Доклад о состоянии и использовании земель в Омской области в 2014 году</w:t>
        </w:r>
      </w:hyperlink>
      <w:r w:rsidR="00AD7B40" w:rsidRPr="00DA1315">
        <w:rPr>
          <w:rFonts w:ascii="Times New Roman" w:hAnsi="Times New Roman" w:cs="Times New Roman"/>
          <w:sz w:val="24"/>
          <w:szCs w:val="24"/>
        </w:rPr>
        <w:t xml:space="preserve"> [Электронный ресурс] – Режим доступа: </w:t>
      </w:r>
      <w:hyperlink r:id="rId11" w:history="1">
        <w:r w:rsidR="00AD7B40" w:rsidRPr="00DA131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http://tavrich.omskportal.ru/ru/municipal/localAuthList/3-52-253-1/poseleniya/tavricheskoe_gorodskoe/socual-razvitie.html</w:t>
        </w:r>
      </w:hyperlink>
      <w:r w:rsidR="00AD7B40" w:rsidRPr="00DA1315">
        <w:rPr>
          <w:rFonts w:ascii="Times New Roman" w:hAnsi="Times New Roman" w:cs="Times New Roman"/>
          <w:sz w:val="24"/>
          <w:szCs w:val="24"/>
        </w:rPr>
        <w:t xml:space="preserve"> (дата обращения 17.09.2015)</w:t>
      </w:r>
    </w:p>
    <w:p w:rsidR="00AD7B40" w:rsidRPr="002B3869" w:rsidRDefault="00827C91" w:rsidP="00AD7B40">
      <w:pPr>
        <w:pStyle w:val="a4"/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12" w:anchor="1" w:history="1">
        <w:r w:rsidR="00AD7B40" w:rsidRPr="002B3869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Показатели для оценки эффективности деятельности органов местного самоуправления городских округов и муниципальных районов</w:t>
        </w:r>
      </w:hyperlink>
      <w:r w:rsidR="00AD7B40" w:rsidRPr="002B3869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[Электронный ресурс] – Режим доступа: </w:t>
      </w:r>
      <w:hyperlink r:id="rId13" w:anchor="1" w:history="1">
        <w:r w:rsidR="00AD7B40" w:rsidRPr="002B3869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http://www.gks.ru/dbscripts/munst/munst52/DBInet.cgi#1</w:t>
        </w:r>
      </w:hyperlink>
      <w:r w:rsidR="00AD7B40" w:rsidRPr="002B3869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(дата обращения 18.09.2015)</w:t>
      </w:r>
    </w:p>
    <w:p w:rsidR="00AD7B40" w:rsidRPr="00DA1315" w:rsidRDefault="00827C91" w:rsidP="00AD7B4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D7B40" w:rsidRPr="00DA1315">
          <w:rPr>
            <w:rStyle w:val="af1"/>
            <w:rFonts w:ascii="Times New Roman" w:hAnsi="Times New Roman" w:cs="Times New Roman"/>
            <w:b w:val="0"/>
            <w:sz w:val="24"/>
            <w:szCs w:val="24"/>
          </w:rPr>
          <w:t>Программа</w:t>
        </w:r>
      </w:hyperlink>
      <w:r w:rsidR="00AD7B40" w:rsidRPr="00DA1315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AD7B40" w:rsidRPr="00DA1315">
        <w:rPr>
          <w:rFonts w:ascii="Times New Roman" w:hAnsi="Times New Roman" w:cs="Times New Roman"/>
          <w:sz w:val="24"/>
          <w:szCs w:val="24"/>
        </w:rPr>
        <w:t xml:space="preserve">комплексного социально-экономического развития Таврического городского поселения Таврического муниципального района Омской области на 2014-2016 годы [Электронный ресурс] – Режим доступа: </w:t>
      </w:r>
      <w:hyperlink r:id="rId15" w:history="1">
        <w:r w:rsidR="00AD7B40" w:rsidRPr="00DA131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http://tavrich.omskportal.ru/ru/municipal/localAuthList/3-52-253-1/poseleniya/tavricheskoe_gorodskoe/socual-razvitie.html</w:t>
        </w:r>
      </w:hyperlink>
      <w:r w:rsidR="00AD7B40" w:rsidRPr="00DA1315">
        <w:rPr>
          <w:rFonts w:ascii="Times New Roman" w:hAnsi="Times New Roman" w:cs="Times New Roman"/>
          <w:sz w:val="24"/>
          <w:szCs w:val="24"/>
        </w:rPr>
        <w:t xml:space="preserve"> (дата обращения 18.09.2015)</w:t>
      </w:r>
    </w:p>
    <w:p w:rsidR="00047A81" w:rsidRDefault="00047A81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A81" w:rsidRDefault="00047A81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D5" w:rsidRDefault="007712D5" w:rsidP="00ED332E">
      <w:pPr>
        <w:pStyle w:val="af2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12D5" w:rsidSect="00ED332E">
      <w:headerReference w:type="default" r:id="rId16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06" w:rsidRDefault="00A16306" w:rsidP="00933C4E">
      <w:pPr>
        <w:spacing w:after="0" w:line="240" w:lineRule="auto"/>
      </w:pPr>
      <w:r>
        <w:separator/>
      </w:r>
    </w:p>
  </w:endnote>
  <w:endnote w:type="continuationSeparator" w:id="0">
    <w:p w:rsidR="00A16306" w:rsidRDefault="00A16306" w:rsidP="009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06" w:rsidRDefault="00A16306" w:rsidP="00933C4E">
      <w:pPr>
        <w:spacing w:after="0" w:line="240" w:lineRule="auto"/>
      </w:pPr>
      <w:r>
        <w:separator/>
      </w:r>
    </w:p>
  </w:footnote>
  <w:footnote w:type="continuationSeparator" w:id="0">
    <w:p w:rsidR="00A16306" w:rsidRDefault="00A16306" w:rsidP="0093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4A" w:rsidRDefault="00B90A4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DE2"/>
    <w:multiLevelType w:val="hybridMultilevel"/>
    <w:tmpl w:val="7FD454A0"/>
    <w:lvl w:ilvl="0" w:tplc="C024B492">
      <w:start w:val="1"/>
      <w:numFmt w:val="decimal"/>
      <w:lvlText w:val="%1."/>
      <w:lvlJc w:val="left"/>
      <w:pPr>
        <w:tabs>
          <w:tab w:val="num" w:pos="710"/>
        </w:tabs>
        <w:ind w:left="88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CD2"/>
    <w:multiLevelType w:val="hybridMultilevel"/>
    <w:tmpl w:val="03AC3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A5029"/>
    <w:multiLevelType w:val="hybridMultilevel"/>
    <w:tmpl w:val="0B40F59C"/>
    <w:lvl w:ilvl="0" w:tplc="C024B492">
      <w:start w:val="1"/>
      <w:numFmt w:val="decimal"/>
      <w:lvlText w:val="%1."/>
      <w:lvlJc w:val="left"/>
      <w:pPr>
        <w:tabs>
          <w:tab w:val="num" w:pos="710"/>
        </w:tabs>
        <w:ind w:left="88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">
    <w:nsid w:val="14694028"/>
    <w:multiLevelType w:val="hybridMultilevel"/>
    <w:tmpl w:val="F048B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5B01BB"/>
    <w:multiLevelType w:val="hybridMultilevel"/>
    <w:tmpl w:val="3696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B1082"/>
    <w:multiLevelType w:val="multilevel"/>
    <w:tmpl w:val="79B4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26E0B08"/>
    <w:multiLevelType w:val="hybridMultilevel"/>
    <w:tmpl w:val="34D63EA2"/>
    <w:lvl w:ilvl="0" w:tplc="53A2CC8A">
      <w:start w:val="3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E3559"/>
    <w:multiLevelType w:val="hybridMultilevel"/>
    <w:tmpl w:val="22DCA576"/>
    <w:lvl w:ilvl="0" w:tplc="B068FC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766CDE"/>
    <w:multiLevelType w:val="multilevel"/>
    <w:tmpl w:val="86307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hint="default"/>
      </w:rPr>
    </w:lvl>
  </w:abstractNum>
  <w:abstractNum w:abstractNumId="9">
    <w:nsid w:val="2CDC31F3"/>
    <w:multiLevelType w:val="hybridMultilevel"/>
    <w:tmpl w:val="A136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712B9"/>
    <w:multiLevelType w:val="hybridMultilevel"/>
    <w:tmpl w:val="D4BE1160"/>
    <w:lvl w:ilvl="0" w:tplc="C024B492">
      <w:start w:val="1"/>
      <w:numFmt w:val="decimal"/>
      <w:lvlText w:val="%1."/>
      <w:lvlJc w:val="left"/>
      <w:pPr>
        <w:tabs>
          <w:tab w:val="num" w:pos="710"/>
        </w:tabs>
        <w:ind w:left="88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754DB"/>
    <w:multiLevelType w:val="hybridMultilevel"/>
    <w:tmpl w:val="4E6E6192"/>
    <w:lvl w:ilvl="0" w:tplc="ADBCA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5A67A1"/>
    <w:multiLevelType w:val="hybridMultilevel"/>
    <w:tmpl w:val="582862E8"/>
    <w:lvl w:ilvl="0" w:tplc="A8D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07709"/>
    <w:multiLevelType w:val="multilevel"/>
    <w:tmpl w:val="86307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hint="default"/>
      </w:rPr>
    </w:lvl>
  </w:abstractNum>
  <w:abstractNum w:abstractNumId="14">
    <w:nsid w:val="522D5F49"/>
    <w:multiLevelType w:val="hybridMultilevel"/>
    <w:tmpl w:val="7BCE0210"/>
    <w:lvl w:ilvl="0" w:tplc="BF62B9A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015F2D"/>
    <w:multiLevelType w:val="hybridMultilevel"/>
    <w:tmpl w:val="2E980548"/>
    <w:lvl w:ilvl="0" w:tplc="8D50C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0E589E"/>
    <w:multiLevelType w:val="multilevel"/>
    <w:tmpl w:val="7BCE021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157BEB"/>
    <w:multiLevelType w:val="hybridMultilevel"/>
    <w:tmpl w:val="CA7E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94A91"/>
    <w:multiLevelType w:val="hybridMultilevel"/>
    <w:tmpl w:val="8E4ECB10"/>
    <w:lvl w:ilvl="0" w:tplc="6BB8DA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7E72898"/>
    <w:multiLevelType w:val="hybridMultilevel"/>
    <w:tmpl w:val="03AA0F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837373F"/>
    <w:multiLevelType w:val="hybridMultilevel"/>
    <w:tmpl w:val="6B644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8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16"/>
  </w:num>
  <w:num w:numId="10">
    <w:abstractNumId w:val="11"/>
  </w:num>
  <w:num w:numId="11">
    <w:abstractNumId w:val="2"/>
  </w:num>
  <w:num w:numId="12">
    <w:abstractNumId w:val="19"/>
  </w:num>
  <w:num w:numId="13">
    <w:abstractNumId w:val="10"/>
  </w:num>
  <w:num w:numId="14">
    <w:abstractNumId w:val="0"/>
  </w:num>
  <w:num w:numId="15">
    <w:abstractNumId w:val="5"/>
  </w:num>
  <w:num w:numId="16">
    <w:abstractNumId w:val="1"/>
  </w:num>
  <w:num w:numId="17">
    <w:abstractNumId w:val="3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F9C"/>
    <w:rsid w:val="00047A81"/>
    <w:rsid w:val="000C4282"/>
    <w:rsid w:val="0014518B"/>
    <w:rsid w:val="00152084"/>
    <w:rsid w:val="00173A68"/>
    <w:rsid w:val="001C0F5C"/>
    <w:rsid w:val="001C32E1"/>
    <w:rsid w:val="00204664"/>
    <w:rsid w:val="00213933"/>
    <w:rsid w:val="002337B3"/>
    <w:rsid w:val="00250C7D"/>
    <w:rsid w:val="00251845"/>
    <w:rsid w:val="002A6335"/>
    <w:rsid w:val="002A74C6"/>
    <w:rsid w:val="002B3869"/>
    <w:rsid w:val="002C36A5"/>
    <w:rsid w:val="002C56DA"/>
    <w:rsid w:val="002E59E0"/>
    <w:rsid w:val="003069E9"/>
    <w:rsid w:val="003313D9"/>
    <w:rsid w:val="00387508"/>
    <w:rsid w:val="0039267F"/>
    <w:rsid w:val="003A3A31"/>
    <w:rsid w:val="003A6233"/>
    <w:rsid w:val="003C6546"/>
    <w:rsid w:val="003D42BC"/>
    <w:rsid w:val="003F4D4E"/>
    <w:rsid w:val="004249B4"/>
    <w:rsid w:val="00426CA0"/>
    <w:rsid w:val="004C0C22"/>
    <w:rsid w:val="005452D7"/>
    <w:rsid w:val="00592222"/>
    <w:rsid w:val="005C5B64"/>
    <w:rsid w:val="005C62AD"/>
    <w:rsid w:val="005E5D16"/>
    <w:rsid w:val="006C0241"/>
    <w:rsid w:val="006F06F2"/>
    <w:rsid w:val="006F2848"/>
    <w:rsid w:val="006F31B5"/>
    <w:rsid w:val="007152C6"/>
    <w:rsid w:val="007254AE"/>
    <w:rsid w:val="00755623"/>
    <w:rsid w:val="007712D5"/>
    <w:rsid w:val="007A1AA6"/>
    <w:rsid w:val="00802FC9"/>
    <w:rsid w:val="0080768F"/>
    <w:rsid w:val="00807A69"/>
    <w:rsid w:val="00827295"/>
    <w:rsid w:val="00827C91"/>
    <w:rsid w:val="00830B98"/>
    <w:rsid w:val="008555D8"/>
    <w:rsid w:val="0086151E"/>
    <w:rsid w:val="008656F0"/>
    <w:rsid w:val="008B1C06"/>
    <w:rsid w:val="008C2B3E"/>
    <w:rsid w:val="008D6AD5"/>
    <w:rsid w:val="00933C4E"/>
    <w:rsid w:val="009B7C66"/>
    <w:rsid w:val="009C4622"/>
    <w:rsid w:val="009F2329"/>
    <w:rsid w:val="00A139F9"/>
    <w:rsid w:val="00A16306"/>
    <w:rsid w:val="00A41C2A"/>
    <w:rsid w:val="00A450C6"/>
    <w:rsid w:val="00A515B3"/>
    <w:rsid w:val="00A83072"/>
    <w:rsid w:val="00AA7B3E"/>
    <w:rsid w:val="00AD7B40"/>
    <w:rsid w:val="00B51D07"/>
    <w:rsid w:val="00B57353"/>
    <w:rsid w:val="00B90A4A"/>
    <w:rsid w:val="00BE4933"/>
    <w:rsid w:val="00C05F9C"/>
    <w:rsid w:val="00C51116"/>
    <w:rsid w:val="00C604B0"/>
    <w:rsid w:val="00C854D6"/>
    <w:rsid w:val="00C91550"/>
    <w:rsid w:val="00CA6FBA"/>
    <w:rsid w:val="00CA782B"/>
    <w:rsid w:val="00CA7A18"/>
    <w:rsid w:val="00CD2E4D"/>
    <w:rsid w:val="00D40910"/>
    <w:rsid w:val="00D7188C"/>
    <w:rsid w:val="00DA50AB"/>
    <w:rsid w:val="00DC35DE"/>
    <w:rsid w:val="00DC4A70"/>
    <w:rsid w:val="00DF30B9"/>
    <w:rsid w:val="00E223C7"/>
    <w:rsid w:val="00E365ED"/>
    <w:rsid w:val="00E65163"/>
    <w:rsid w:val="00E91557"/>
    <w:rsid w:val="00EA15B9"/>
    <w:rsid w:val="00EA3463"/>
    <w:rsid w:val="00ED332E"/>
    <w:rsid w:val="00F1065D"/>
    <w:rsid w:val="00F96C98"/>
    <w:rsid w:val="00FA24E1"/>
    <w:rsid w:val="00FD4045"/>
    <w:rsid w:val="00FD6589"/>
    <w:rsid w:val="00FE4C1A"/>
    <w:rsid w:val="00F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F9C"/>
    <w:pPr>
      <w:ind w:left="720"/>
      <w:contextualSpacing/>
    </w:pPr>
  </w:style>
  <w:style w:type="character" w:customStyle="1" w:styleId="apple-converted-space">
    <w:name w:val="apple-converted-space"/>
    <w:basedOn w:val="a0"/>
    <w:rsid w:val="00C05F9C"/>
  </w:style>
  <w:style w:type="paragraph" w:styleId="a5">
    <w:name w:val="Body Text"/>
    <w:basedOn w:val="a"/>
    <w:link w:val="a6"/>
    <w:uiPriority w:val="99"/>
    <w:rsid w:val="00C05F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0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9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05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05F9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05F9C"/>
  </w:style>
  <w:style w:type="paragraph" w:styleId="ab">
    <w:name w:val="Normal (Web)"/>
    <w:aliases w:val="Обычный (веб) Знак,Обычный (Web)1,Обычный (Web)"/>
    <w:basedOn w:val="a"/>
    <w:unhideWhenUsed/>
    <w:rsid w:val="00C0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0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5F9C"/>
  </w:style>
  <w:style w:type="paragraph" w:styleId="ae">
    <w:name w:val="footer"/>
    <w:basedOn w:val="a"/>
    <w:link w:val="af"/>
    <w:uiPriority w:val="99"/>
    <w:semiHidden/>
    <w:unhideWhenUsed/>
    <w:rsid w:val="00C0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05F9C"/>
  </w:style>
  <w:style w:type="character" w:styleId="af0">
    <w:name w:val="Hyperlink"/>
    <w:basedOn w:val="a0"/>
    <w:uiPriority w:val="99"/>
    <w:semiHidden/>
    <w:unhideWhenUsed/>
    <w:rsid w:val="00C05F9C"/>
    <w:rPr>
      <w:color w:val="0000FF"/>
      <w:u w:val="single"/>
    </w:rPr>
  </w:style>
  <w:style w:type="character" w:styleId="af1">
    <w:name w:val="Strong"/>
    <w:basedOn w:val="a0"/>
    <w:uiPriority w:val="22"/>
    <w:qFormat/>
    <w:rsid w:val="00C05F9C"/>
    <w:rPr>
      <w:b/>
      <w:bCs/>
    </w:rPr>
  </w:style>
  <w:style w:type="paragraph" w:styleId="af2">
    <w:name w:val="No Spacing"/>
    <w:link w:val="af3"/>
    <w:uiPriority w:val="99"/>
    <w:qFormat/>
    <w:rsid w:val="00C05F9C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99"/>
    <w:rsid w:val="00C05F9C"/>
    <w:rPr>
      <w:rFonts w:eastAsiaTheme="minorEastAsia"/>
    </w:rPr>
  </w:style>
  <w:style w:type="paragraph" w:styleId="2">
    <w:name w:val="Body Text Indent 2"/>
    <w:basedOn w:val="a"/>
    <w:link w:val="20"/>
    <w:unhideWhenUsed/>
    <w:rsid w:val="00C05F9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05F9C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C0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5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05F9C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customStyle="1" w:styleId="1">
    <w:name w:val="Без интервала1"/>
    <w:rsid w:val="00C0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ks.ru/dbscripts/munst/munst52/DBInet.cg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/dbscripts/munst/munst52/DBInet.cg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vrich.omskportal.ru/ru/municipal/localAuthList/3-52-253-1/poseleniya/tavricheskoe_gorodskoe/socual-razvit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vrich.omskportal.ru/ru/municipal/localAuthList/3-52-253-1/poseleniya/tavricheskoe_gorodskoe/socual-razvitie.html" TargetMode="External"/><Relationship Id="rId10" Type="http://schemas.openxmlformats.org/officeDocument/2006/relationships/hyperlink" Target="http://www.to55.rosreestr.ru/kadastr/zemleustroistvo/svedeniya_o_zemle/660676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tavrich.omskportal.ru/ru/municipal/localAuthList/3-52-253-1/poseleniya/tavricheskoe_gorodskoe/socual-razvitie/PageContent/0/body_files/file/%D0%9F%D1%80%D0%BE%D0%B3%D1%80%D0%B0%D0%BC%D0%BC%D0%B0%20%D0%BA%D0%BE%D0%BC%D0%BF%D0%BB%D0%B5%D0%BA%D1%81%D0%BD%D0%BE%D0%B3%D0%BE%20%D1%81%D0%BE%D0%B0%D0%BB%D1%8C%D0%BD%D0%BE-%D1%8D%D0%BA%D0%BE%D0%BD%D0%BE%D0%BC%D0%B8%D1%87%D0%B5%D1%81%D0%BA%D0%BE%D0%B3%D0%BE%20%D1%80%D0%B0%D0%B7%D0%B2%D0%B8%D1%82%D0%B8%D1%8F.ra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esktop\Pusya\&#1059;&#1063;&#1045;&#1041;&#1040;%20&#1054;&#1052;&#1043;&#1040;&#1059;\rogotev\&#1055;&#1088;&#1080;&#1083;&#1086;&#1078;&#1077;&#1085;&#1080;&#1077;%204%20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esktop\Pusya\&#1059;&#1063;&#1045;&#1041;&#1040;%20&#1054;&#1052;&#1043;&#1040;&#1059;\veselova\&#1055;&#1086;%20&#1087;&#1088;&#1077;&#1076;&#1087;&#1088;&#1080;&#1103;&#1090;&#1080;&#1103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93"/>
      <c:perspective val="30"/>
    </c:view3D>
    <c:plotArea>
      <c:layout>
        <c:manualLayout>
          <c:layoutTarget val="inner"/>
          <c:xMode val="edge"/>
          <c:yMode val="edge"/>
          <c:x val="9.4840455952304212E-2"/>
          <c:y val="0.15358634009395541"/>
          <c:w val="0.81570919724510482"/>
          <c:h val="0.73186440504305861"/>
        </c:manualLayout>
      </c:layout>
      <c:pie3DChart>
        <c:varyColors val="1"/>
        <c:ser>
          <c:idx val="0"/>
          <c:order val="0"/>
          <c:spPr>
            <a:effectLst>
              <a:outerShdw blurRad="114300" dist="1181100" dir="7020000" sx="93000" sy="93000" algn="ctr" rotWithShape="0">
                <a:srgbClr val="00B05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etal">
              <a:bevelT w="139700" h="139700" prst="divot"/>
              <a:bevelB w="114300" prst="artDeco"/>
            </a:sp3d>
          </c:spPr>
          <c:explosion val="42"/>
          <c:dPt>
            <c:idx val="0"/>
            <c:explosion val="27"/>
          </c:dPt>
          <c:dPt>
            <c:idx val="4"/>
            <c:explosion val="44"/>
          </c:dPt>
          <c:dLbls>
            <c:dLbl>
              <c:idx val="0"/>
              <c:layout>
                <c:manualLayout>
                  <c:x val="-1.9622147231596169E-2"/>
                  <c:y val="-1.778713158325699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7931768869965276"/>
                  <c:y val="0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1.8328922600204727E-2"/>
                  <c:y val="1.4798066769199758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Лист1!$T$15:$Y$15</c:f>
              <c:strCache>
                <c:ptCount val="6"/>
                <c:pt idx="0">
                  <c:v>С/х угодья</c:v>
                </c:pt>
                <c:pt idx="1">
                  <c:v>Лесные площади и насаждения, не входящие в лесной фонд</c:v>
                </c:pt>
                <c:pt idx="2">
                  <c:v>Под водой</c:v>
                </c:pt>
                <c:pt idx="3">
                  <c:v>Земли застройки</c:v>
                </c:pt>
                <c:pt idx="4">
                  <c:v>Под дорогами</c:v>
                </c:pt>
                <c:pt idx="5">
                  <c:v>Болота, нарушенные и прочие</c:v>
                </c:pt>
              </c:strCache>
            </c:strRef>
          </c:cat>
          <c:val>
            <c:numRef>
              <c:f>Лист1!$T$17:$Y$17</c:f>
              <c:numCache>
                <c:formatCode>General</c:formatCode>
                <c:ptCount val="6"/>
                <c:pt idx="0">
                  <c:v>4130</c:v>
                </c:pt>
                <c:pt idx="1">
                  <c:v>192</c:v>
                </c:pt>
                <c:pt idx="2">
                  <c:v>21</c:v>
                </c:pt>
                <c:pt idx="3">
                  <c:v>645</c:v>
                </c:pt>
                <c:pt idx="4">
                  <c:v>826</c:v>
                </c:pt>
                <c:pt idx="5">
                  <c:v>230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effectLst>
      <a:outerShdw blurRad="50800" dist="38100" dir="16200000" rotWithShape="0">
        <a:prstClr val="black">
          <a:alpha val="40000"/>
        </a:prst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Лист1!$L$117</c:f>
              <c:strCache>
                <c:ptCount val="1"/>
                <c:pt idx="0">
                  <c:v>Зерновые и зернобобовые культуры </c:v>
                </c:pt>
              </c:strCache>
            </c:strRef>
          </c:tx>
          <c:spPr>
            <a:ln cap="sq"/>
          </c:spPr>
          <c:marker>
            <c:symbol val="none"/>
          </c:marker>
          <c:cat>
            <c:numRef>
              <c:f>Лист1!$M$116:$R$116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Лист1!$M$117:$R$117</c:f>
              <c:numCache>
                <c:formatCode>General</c:formatCode>
                <c:ptCount val="5"/>
                <c:pt idx="0">
                  <c:v>266835</c:v>
                </c:pt>
                <c:pt idx="1">
                  <c:v>843651</c:v>
                </c:pt>
                <c:pt idx="2">
                  <c:v>484400.33</c:v>
                </c:pt>
                <c:pt idx="3">
                  <c:v>540701.15</c:v>
                </c:pt>
                <c:pt idx="4">
                  <c:v>693137.8</c:v>
                </c:pt>
              </c:numCache>
            </c:numRef>
          </c:val>
        </c:ser>
        <c:ser>
          <c:idx val="1"/>
          <c:order val="1"/>
          <c:tx>
            <c:strRef>
              <c:f>Лист1!$L$118</c:f>
              <c:strCache>
                <c:ptCount val="1"/>
                <c:pt idx="0">
                  <c:v>Подсолнечник </c:v>
                </c:pt>
              </c:strCache>
            </c:strRef>
          </c:tx>
          <c:marker>
            <c:symbol val="none"/>
          </c:marker>
          <c:cat>
            <c:numRef>
              <c:f>Лист1!$M$116:$R$116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Лист1!$M$118:$R$118</c:f>
              <c:numCache>
                <c:formatCode>General</c:formatCode>
                <c:ptCount val="5"/>
                <c:pt idx="1">
                  <c:v>6144</c:v>
                </c:pt>
                <c:pt idx="2">
                  <c:v>3705.9900000000002</c:v>
                </c:pt>
              </c:numCache>
            </c:numRef>
          </c:val>
        </c:ser>
        <c:ser>
          <c:idx val="2"/>
          <c:order val="2"/>
          <c:tx>
            <c:strRef>
              <c:f>Лист1!$L$119</c:f>
              <c:strCache>
                <c:ptCount val="1"/>
                <c:pt idx="0">
                  <c:v>Картофель </c:v>
                </c:pt>
              </c:strCache>
            </c:strRef>
          </c:tx>
          <c:marker>
            <c:symbol val="none"/>
          </c:marker>
          <c:cat>
            <c:numRef>
              <c:f>Лист1!$M$116:$R$116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Лист1!$M$119:$R$119</c:f>
              <c:numCache>
                <c:formatCode>General</c:formatCode>
                <c:ptCount val="5"/>
                <c:pt idx="4">
                  <c:v>3000</c:v>
                </c:pt>
              </c:numCache>
            </c:numRef>
          </c:val>
        </c:ser>
        <c:ser>
          <c:idx val="3"/>
          <c:order val="3"/>
          <c:tx>
            <c:strRef>
              <c:f>Лист1!$L$120</c:f>
              <c:strCache>
                <c:ptCount val="1"/>
                <c:pt idx="0">
                  <c:v>Овощи - всего </c:v>
                </c:pt>
              </c:strCache>
            </c:strRef>
          </c:tx>
          <c:marker>
            <c:symbol val="none"/>
          </c:marker>
          <c:cat>
            <c:numRef>
              <c:f>Лист1!$M$116:$R$116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Лист1!$M$120:$R$120</c:f>
              <c:numCache>
                <c:formatCode>General</c:formatCode>
                <c:ptCount val="5"/>
                <c:pt idx="0">
                  <c:v>12782.9</c:v>
                </c:pt>
                <c:pt idx="1">
                  <c:v>6103</c:v>
                </c:pt>
                <c:pt idx="2">
                  <c:v>9940</c:v>
                </c:pt>
                <c:pt idx="3">
                  <c:v>20433.5</c:v>
                </c:pt>
                <c:pt idx="4">
                  <c:v>41682</c:v>
                </c:pt>
              </c:numCache>
            </c:numRef>
          </c:val>
        </c:ser>
        <c:ser>
          <c:idx val="4"/>
          <c:order val="4"/>
          <c:tx>
            <c:strRef>
              <c:f>Лист1!$L$121</c:f>
              <c:strCache>
                <c:ptCount val="1"/>
                <c:pt idx="0">
                  <c:v>Скот и птица в живой массе </c:v>
                </c:pt>
              </c:strCache>
            </c:strRef>
          </c:tx>
          <c:marker>
            <c:symbol val="none"/>
          </c:marker>
          <c:cat>
            <c:numRef>
              <c:f>Лист1!$M$116:$R$116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Лист1!$M$121:$R$121</c:f>
              <c:numCache>
                <c:formatCode>General</c:formatCode>
                <c:ptCount val="5"/>
                <c:pt idx="0">
                  <c:v>11268.56</c:v>
                </c:pt>
                <c:pt idx="1">
                  <c:v>7987</c:v>
                </c:pt>
                <c:pt idx="2">
                  <c:v>8043.4</c:v>
                </c:pt>
                <c:pt idx="3">
                  <c:v>11868.16</c:v>
                </c:pt>
                <c:pt idx="4">
                  <c:v>8313.5300000000007</c:v>
                </c:pt>
              </c:numCache>
            </c:numRef>
          </c:val>
        </c:ser>
        <c:ser>
          <c:idx val="5"/>
          <c:order val="5"/>
          <c:tx>
            <c:strRef>
              <c:f>Лист1!$L$122</c:f>
              <c:strCache>
                <c:ptCount val="1"/>
                <c:pt idx="0">
                  <c:v>Молоко </c:v>
                </c:pt>
              </c:strCache>
            </c:strRef>
          </c:tx>
          <c:marker>
            <c:symbol val="none"/>
          </c:marker>
          <c:cat>
            <c:numRef>
              <c:f>Лист1!$M$116:$R$116</c:f>
              <c:numCache>
                <c:formatCode>General</c:formatCode>
                <c:ptCount val="5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Лист1!$M$122:$R$122</c:f>
              <c:numCache>
                <c:formatCode>General</c:formatCode>
                <c:ptCount val="5"/>
                <c:pt idx="0">
                  <c:v>123745.5</c:v>
                </c:pt>
                <c:pt idx="1">
                  <c:v>143780.14000000001</c:v>
                </c:pt>
                <c:pt idx="2">
                  <c:v>155232.16</c:v>
                </c:pt>
                <c:pt idx="3">
                  <c:v>136388.94999999998</c:v>
                </c:pt>
                <c:pt idx="4">
                  <c:v>88997.939999999988</c:v>
                </c:pt>
              </c:numCache>
            </c:numRef>
          </c:val>
        </c:ser>
        <c:marker val="1"/>
        <c:axId val="73391488"/>
        <c:axId val="73532544"/>
      </c:lineChart>
      <c:catAx>
        <c:axId val="73391488"/>
        <c:scaling>
          <c:orientation val="minMax"/>
        </c:scaling>
        <c:axPos val="b"/>
        <c:numFmt formatCode="General" sourceLinked="1"/>
        <c:majorTickMark val="none"/>
        <c:tickLblPos val="nextTo"/>
        <c:crossAx val="73532544"/>
        <c:crosses val="autoZero"/>
        <c:auto val="1"/>
        <c:lblAlgn val="ctr"/>
        <c:lblOffset val="100"/>
      </c:catAx>
      <c:valAx>
        <c:axId val="735325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центнер</a:t>
                </a:r>
              </a:p>
            </c:rich>
          </c:tx>
        </c:title>
        <c:numFmt formatCode="General" sourceLinked="1"/>
        <c:majorTickMark val="none"/>
        <c:tickLblPos val="nextTo"/>
        <c:crossAx val="733914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8E5D7-1217-4B48-A437-E0006354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15</cp:revision>
  <dcterms:created xsi:type="dcterms:W3CDTF">2015-09-20T12:41:00Z</dcterms:created>
  <dcterms:modified xsi:type="dcterms:W3CDTF">2015-09-21T14:00:00Z</dcterms:modified>
</cp:coreProperties>
</file>