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72" w:rsidRDefault="00ED5672" w:rsidP="00ED5672">
      <w:pPr>
        <w:spacing w:after="240" w:line="276" w:lineRule="auto"/>
      </w:pPr>
      <w:bookmarkStart w:id="0" w:name="_GoBack"/>
      <w:bookmarkEnd w:id="0"/>
      <w:r w:rsidRPr="00066524">
        <w:rPr>
          <w:rFonts w:eastAsia="MS Mincho"/>
          <w:noProof/>
          <w:lang w:eastAsia="en-US"/>
        </w:rPr>
        <w:t>УДК</w:t>
      </w:r>
      <w:r w:rsidRPr="00C34606">
        <w:rPr>
          <w:rFonts w:eastAsia="MS Mincho"/>
          <w:noProof/>
          <w:lang w:eastAsia="en-US"/>
        </w:rPr>
        <w:t xml:space="preserve"> (</w:t>
      </w:r>
      <w:r>
        <w:rPr>
          <w:rFonts w:eastAsia="MS Mincho"/>
          <w:noProof/>
          <w:lang w:eastAsia="en-US"/>
        </w:rPr>
        <w:t>третьего уровня</w:t>
      </w:r>
      <w:r w:rsidRPr="00C34606">
        <w:rPr>
          <w:rFonts w:eastAsia="MS Mincho"/>
          <w:noProof/>
          <w:lang w:eastAsia="en-US"/>
        </w:rPr>
        <w:t>)</w:t>
      </w:r>
    </w:p>
    <w:p w:rsidR="00ED5672" w:rsidRPr="00ED5672" w:rsidRDefault="00ED5672" w:rsidP="00ED5672">
      <w:pPr>
        <w:pStyle w:val="2"/>
        <w:spacing w:before="0" w:after="120" w:line="360" w:lineRule="auto"/>
        <w:jc w:val="center"/>
        <w:rPr>
          <w:rFonts w:ascii="Times New Roman" w:eastAsia="MS Mincho" w:hAnsi="Times New Roman" w:cs="Times New Roman"/>
          <w:noProof/>
          <w:sz w:val="24"/>
          <w:szCs w:val="24"/>
          <w:lang w:eastAsia="en-US"/>
        </w:rPr>
      </w:pPr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И. О. Фамилия</w:t>
      </w:r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>1</w:t>
      </w:r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(первого автора), И. О. Фамилия</w:t>
      </w:r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>2</w:t>
      </w:r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(второго автора)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textWrapping" w:clear="all"/>
      </w:r>
      <w:r w:rsidRPr="00ED5672">
        <w:rPr>
          <w:rFonts w:ascii="Times New Roman" w:eastAsia="MS Mincho" w:hAnsi="Times New Roman" w:cs="Times New Roman"/>
          <w:smallCaps/>
          <w:noProof/>
          <w:color w:val="000000" w:themeColor="text1"/>
          <w:sz w:val="24"/>
          <w:szCs w:val="24"/>
          <w:lang w:eastAsia="en-US"/>
        </w:rPr>
        <w:t>Н</w:t>
      </w:r>
      <w:r w:rsidRPr="00ED5672">
        <w:rPr>
          <w:rFonts w:ascii="Times New Roman" w:eastAsia="MS Mincho" w:hAnsi="Times New Roman" w:cs="Times New Roman"/>
          <w:noProof/>
          <w:color w:val="000000" w:themeColor="text1"/>
          <w:sz w:val="24"/>
          <w:szCs w:val="24"/>
          <w:lang w:eastAsia="en-US"/>
        </w:rPr>
        <w:t>АЗВАНИЕ СТАТЬИ НА РУССКОМ ЯЗЫКЕ*</w:t>
      </w:r>
    </w:p>
    <w:p w:rsidR="00ED5672" w:rsidRPr="00066524" w:rsidRDefault="00ED5672" w:rsidP="00ED5672">
      <w:pPr>
        <w:spacing w:line="276" w:lineRule="auto"/>
        <w:jc w:val="center"/>
        <w:rPr>
          <w:i/>
        </w:rPr>
      </w:pPr>
      <w:r w:rsidRPr="00066524">
        <w:rPr>
          <w:vertAlign w:val="superscript"/>
        </w:rPr>
        <w:t>1</w:t>
      </w:r>
      <w:r w:rsidRPr="00066524">
        <w:rPr>
          <w:i/>
        </w:rPr>
        <w:t>Организация, в которой работает первый автор, город, страна</w:t>
      </w:r>
    </w:p>
    <w:p w:rsidR="00ED5672" w:rsidRPr="00066524" w:rsidRDefault="00ED5672" w:rsidP="00ED5672">
      <w:pPr>
        <w:spacing w:line="276" w:lineRule="auto"/>
        <w:jc w:val="center"/>
        <w:rPr>
          <w:i/>
        </w:rPr>
      </w:pPr>
      <w:r w:rsidRPr="00066524">
        <w:rPr>
          <w:vertAlign w:val="superscript"/>
        </w:rPr>
        <w:t>2</w:t>
      </w:r>
      <w:r w:rsidRPr="00066524">
        <w:rPr>
          <w:i/>
        </w:rPr>
        <w:t>Организация, в которой работает второй автор, город, страна</w:t>
      </w:r>
    </w:p>
    <w:p w:rsidR="00ED5672" w:rsidRPr="006476EA" w:rsidRDefault="00ED5672" w:rsidP="00ED5672">
      <w:pPr>
        <w:spacing w:before="240" w:after="120" w:line="276" w:lineRule="auto"/>
        <w:jc w:val="both"/>
        <w:rPr>
          <w:color w:val="000000"/>
          <w:sz w:val="20"/>
          <w:szCs w:val="20"/>
        </w:rPr>
      </w:pPr>
      <w:r w:rsidRPr="00F80A3F">
        <w:rPr>
          <w:i/>
          <w:sz w:val="20"/>
          <w:szCs w:val="20"/>
        </w:rPr>
        <w:t>Аннотация</w:t>
      </w:r>
      <w:r w:rsidRPr="006476EA">
        <w:rPr>
          <w:sz w:val="20"/>
          <w:szCs w:val="20"/>
        </w:rPr>
        <w:t xml:space="preserve"> – Включает актуальность темы исследования, постановку проблемы, цели исследования. В аннотации кратко описываются методы исследования, результаты исследования и ключевые выводы. Аннотация должна содержать от 500 знаков (проверить количество знаков можно используя функцию «Статистика», расположенную в закладке «Рецензирование»). </w:t>
      </w:r>
      <w:r w:rsidRPr="006476EA">
        <w:rPr>
          <w:color w:val="000000"/>
          <w:sz w:val="20"/>
          <w:szCs w:val="20"/>
        </w:rPr>
        <w:t xml:space="preserve">После аннотации делается пропуск строки, и в следующей строке должны быть указаны ключевые слова (словосочетания), количество слов (словосочетаний) не более 5. Текст аннотации и ключевые слова набираются шрифтом </w:t>
      </w:r>
      <w:r w:rsidRPr="006476EA">
        <w:rPr>
          <w:color w:val="000000"/>
          <w:sz w:val="20"/>
          <w:szCs w:val="20"/>
          <w:lang w:val="en-US"/>
        </w:rPr>
        <w:t>Times</w:t>
      </w:r>
      <w:r w:rsidRPr="006476EA">
        <w:rPr>
          <w:color w:val="000000"/>
          <w:sz w:val="20"/>
          <w:szCs w:val="20"/>
        </w:rPr>
        <w:t xml:space="preserve"> </w:t>
      </w:r>
      <w:r w:rsidRPr="006476EA">
        <w:rPr>
          <w:color w:val="000000"/>
          <w:sz w:val="20"/>
          <w:szCs w:val="20"/>
          <w:lang w:val="en-US"/>
        </w:rPr>
        <w:t>New</w:t>
      </w:r>
      <w:r w:rsidRPr="006476EA">
        <w:rPr>
          <w:color w:val="000000"/>
          <w:sz w:val="20"/>
          <w:szCs w:val="20"/>
        </w:rPr>
        <w:t xml:space="preserve"> </w:t>
      </w:r>
      <w:r w:rsidRPr="006476EA">
        <w:rPr>
          <w:color w:val="000000"/>
          <w:sz w:val="20"/>
          <w:szCs w:val="20"/>
          <w:lang w:val="en-US"/>
        </w:rPr>
        <w:t>Roman</w:t>
      </w:r>
      <w:r w:rsidRPr="006476EA">
        <w:rPr>
          <w:color w:val="000000"/>
          <w:sz w:val="20"/>
          <w:szCs w:val="20"/>
        </w:rPr>
        <w:t xml:space="preserve">, размер шрифта </w:t>
      </w:r>
      <w:r w:rsidRPr="00F80A3F">
        <w:rPr>
          <w:color w:val="000000"/>
          <w:sz w:val="20"/>
          <w:szCs w:val="20"/>
        </w:rPr>
        <w:t>10 пунктов (интервал перед строкой – 12 пунктов, после строки – 6 пунктов)</w:t>
      </w:r>
      <w:r w:rsidRPr="006476EA">
        <w:rPr>
          <w:color w:val="000000"/>
          <w:sz w:val="20"/>
          <w:szCs w:val="20"/>
        </w:rPr>
        <w:t xml:space="preserve">, слова «Аннотация» и «Ключевые» слова набирается шрифтом </w:t>
      </w:r>
      <w:r w:rsidRPr="006476EA">
        <w:rPr>
          <w:color w:val="000000"/>
          <w:sz w:val="20"/>
          <w:szCs w:val="20"/>
          <w:lang w:val="en-US"/>
        </w:rPr>
        <w:t>Times</w:t>
      </w:r>
      <w:r w:rsidRPr="006476EA">
        <w:rPr>
          <w:color w:val="000000"/>
          <w:sz w:val="20"/>
          <w:szCs w:val="20"/>
        </w:rPr>
        <w:t xml:space="preserve"> </w:t>
      </w:r>
      <w:r w:rsidRPr="006476EA">
        <w:rPr>
          <w:color w:val="000000"/>
          <w:sz w:val="20"/>
          <w:szCs w:val="20"/>
          <w:lang w:val="en-US"/>
        </w:rPr>
        <w:t>New</w:t>
      </w:r>
      <w:r w:rsidRPr="006476EA">
        <w:rPr>
          <w:color w:val="000000"/>
          <w:sz w:val="20"/>
          <w:szCs w:val="20"/>
        </w:rPr>
        <w:t xml:space="preserve"> </w:t>
      </w:r>
      <w:r w:rsidRPr="006476EA">
        <w:rPr>
          <w:color w:val="000000"/>
          <w:sz w:val="20"/>
          <w:szCs w:val="20"/>
          <w:lang w:val="en-US"/>
        </w:rPr>
        <w:t>Roman</w:t>
      </w:r>
      <w:r w:rsidRPr="006476EA">
        <w:rPr>
          <w:color w:val="000000"/>
          <w:sz w:val="20"/>
          <w:szCs w:val="20"/>
        </w:rPr>
        <w:t>, размер шрифта 1</w:t>
      </w:r>
      <w:r>
        <w:rPr>
          <w:color w:val="000000"/>
          <w:sz w:val="20"/>
          <w:szCs w:val="20"/>
        </w:rPr>
        <w:t>0</w:t>
      </w:r>
      <w:r w:rsidRPr="006476EA">
        <w:rPr>
          <w:color w:val="000000"/>
          <w:sz w:val="20"/>
          <w:szCs w:val="20"/>
        </w:rPr>
        <w:t xml:space="preserve"> пунктов, с применением курсивного начертания. Особое внимание обращать на единство индексов</w:t>
      </w:r>
      <w:r>
        <w:rPr>
          <w:color w:val="000000"/>
          <w:sz w:val="20"/>
          <w:szCs w:val="20"/>
        </w:rPr>
        <w:t xml:space="preserve"> УДК</w:t>
      </w:r>
      <w:r w:rsidRPr="006476EA">
        <w:rPr>
          <w:color w:val="000000"/>
          <w:sz w:val="20"/>
          <w:szCs w:val="20"/>
        </w:rPr>
        <w:t xml:space="preserve"> и терминологии.</w:t>
      </w:r>
    </w:p>
    <w:p w:rsidR="00ED5672" w:rsidRPr="006476EA" w:rsidRDefault="00ED5672" w:rsidP="00ED5672">
      <w:pPr>
        <w:spacing w:before="240" w:after="120" w:line="276" w:lineRule="auto"/>
        <w:jc w:val="both"/>
        <w:rPr>
          <w:sz w:val="20"/>
          <w:szCs w:val="20"/>
        </w:rPr>
      </w:pPr>
      <w:r w:rsidRPr="00F80A3F">
        <w:rPr>
          <w:i/>
          <w:sz w:val="20"/>
          <w:szCs w:val="20"/>
        </w:rPr>
        <w:t>Ключевые слова</w:t>
      </w:r>
      <w:r w:rsidRPr="006476EA">
        <w:rPr>
          <w:i/>
          <w:sz w:val="20"/>
          <w:szCs w:val="20"/>
        </w:rPr>
        <w:t xml:space="preserve"> –</w:t>
      </w:r>
      <w:r w:rsidRPr="006476EA">
        <w:rPr>
          <w:sz w:val="20"/>
          <w:szCs w:val="20"/>
        </w:rPr>
        <w:t xml:space="preserve"> образец, оформление, статья</w:t>
      </w:r>
    </w:p>
    <w:p w:rsidR="00ED5672" w:rsidRDefault="00ED5672" w:rsidP="00ED5672">
      <w:pPr>
        <w:spacing w:line="276" w:lineRule="auto"/>
        <w:jc w:val="both"/>
        <w:rPr>
          <w:i/>
          <w:color w:val="000000"/>
          <w:sz w:val="20"/>
          <w:szCs w:val="20"/>
        </w:rPr>
      </w:pPr>
      <w:r w:rsidRPr="00686D3E">
        <w:rPr>
          <w:i/>
          <w:sz w:val="20"/>
          <w:szCs w:val="20"/>
        </w:rPr>
        <w:t>*Источник финансирования</w:t>
      </w:r>
      <w:r>
        <w:rPr>
          <w:i/>
          <w:sz w:val="20"/>
          <w:szCs w:val="20"/>
        </w:rPr>
        <w:t>: р</w:t>
      </w:r>
      <w:r w:rsidRPr="00686D3E">
        <w:rPr>
          <w:i/>
          <w:color w:val="000000"/>
          <w:sz w:val="20"/>
          <w:szCs w:val="20"/>
        </w:rPr>
        <w:t xml:space="preserve">абота выполнена при финансовой поддержке Российского фонда фундаментальных исследований, грант… </w:t>
      </w:r>
    </w:p>
    <w:p w:rsidR="00ED5672" w:rsidRPr="00066524" w:rsidRDefault="00ED5672" w:rsidP="00ED5672">
      <w:pPr>
        <w:spacing w:before="240" w:after="120" w:line="276" w:lineRule="auto"/>
        <w:ind w:firstLine="567"/>
        <w:jc w:val="center"/>
        <w:rPr>
          <w:smallCaps/>
          <w:color w:val="000000"/>
        </w:rPr>
      </w:pPr>
      <w:r w:rsidRPr="00066524">
        <w:rPr>
          <w:smallCaps/>
          <w:color w:val="000000"/>
          <w:lang w:val="en-US"/>
        </w:rPr>
        <w:t>I</w:t>
      </w:r>
      <w:r w:rsidRPr="00066524">
        <w:rPr>
          <w:smallCaps/>
          <w:color w:val="000000"/>
        </w:rPr>
        <w:t xml:space="preserve">. </w:t>
      </w:r>
      <w:r w:rsidRPr="00066524">
        <w:rPr>
          <w:caps/>
          <w:color w:val="000000"/>
        </w:rPr>
        <w:t>Введение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i/>
        </w:rPr>
      </w:pPr>
      <w:r w:rsidRPr="00066524">
        <w:t xml:space="preserve">Текст статьи должен быть в обязательном порядке структурирован с применением стандартных названий разделов: </w:t>
      </w:r>
      <w:r w:rsidRPr="00066524">
        <w:rPr>
          <w:caps/>
        </w:rPr>
        <w:t>«</w:t>
      </w:r>
      <w:r w:rsidRPr="00066524">
        <w:rPr>
          <w:caps/>
          <w:lang w:val="en-US"/>
        </w:rPr>
        <w:t>I</w:t>
      </w:r>
      <w:r w:rsidRPr="00066524">
        <w:rPr>
          <w:caps/>
        </w:rPr>
        <w:t>. Введение», «</w:t>
      </w:r>
      <w:r w:rsidRPr="00066524">
        <w:rPr>
          <w:caps/>
          <w:lang w:val="en-US"/>
        </w:rPr>
        <w:t>II</w:t>
      </w:r>
      <w:r w:rsidRPr="00066524">
        <w:rPr>
          <w:caps/>
        </w:rPr>
        <w:t>. Теория», «</w:t>
      </w:r>
      <w:r w:rsidRPr="00066524">
        <w:rPr>
          <w:caps/>
          <w:lang w:val="en-US"/>
        </w:rPr>
        <w:t>III</w:t>
      </w:r>
      <w:r w:rsidRPr="00066524">
        <w:rPr>
          <w:caps/>
        </w:rPr>
        <w:t>. Результаты», «</w:t>
      </w:r>
      <w:r w:rsidRPr="00066524">
        <w:rPr>
          <w:caps/>
          <w:lang w:val="en-US"/>
        </w:rPr>
        <w:t>IV</w:t>
      </w:r>
      <w:r w:rsidRPr="00066524">
        <w:rPr>
          <w:caps/>
        </w:rPr>
        <w:t>. Обсуждение», «</w:t>
      </w:r>
      <w:r w:rsidRPr="00066524">
        <w:rPr>
          <w:caps/>
          <w:lang w:val="en-US"/>
        </w:rPr>
        <w:t>V</w:t>
      </w:r>
      <w:r w:rsidRPr="00066524">
        <w:rPr>
          <w:caps/>
        </w:rPr>
        <w:t>. Заключение»</w:t>
      </w:r>
      <w:r w:rsidRPr="00066524">
        <w:rPr>
          <w:i/>
        </w:rPr>
        <w:t xml:space="preserve">. </w:t>
      </w:r>
      <w:r w:rsidRPr="00066524">
        <w:t xml:space="preserve">Разделы нумеруются римскими цифрами, названия разделов располагаются в центре прописными буквами шрифтом </w:t>
      </w:r>
      <w:r w:rsidRPr="00066524">
        <w:rPr>
          <w:lang w:val="en-US"/>
        </w:rPr>
        <w:t>Times</w:t>
      </w:r>
      <w:r w:rsidRPr="00066524">
        <w:t xml:space="preserve"> </w:t>
      </w:r>
      <w:r w:rsidRPr="00066524">
        <w:rPr>
          <w:lang w:val="en-US"/>
        </w:rPr>
        <w:t>New</w:t>
      </w:r>
      <w:r w:rsidRPr="00066524">
        <w:t xml:space="preserve"> </w:t>
      </w:r>
      <w:r w:rsidRPr="00066524">
        <w:rPr>
          <w:lang w:val="en-US"/>
        </w:rPr>
        <w:t>Roman</w:t>
      </w:r>
      <w:r w:rsidRPr="00066524">
        <w:t xml:space="preserve"> 12 пунктов с интервалом: перед строкой – 12 пунктов, после строки – 6 пунктов.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Раздел «</w:t>
      </w:r>
      <w:r w:rsidRPr="00066524">
        <w:rPr>
          <w:caps/>
          <w:lang w:val="en-US"/>
        </w:rPr>
        <w:t>I</w:t>
      </w:r>
      <w:r w:rsidRPr="00066524">
        <w:rPr>
          <w:caps/>
        </w:rPr>
        <w:t>. Введение</w:t>
      </w:r>
      <w:r w:rsidRPr="00066524">
        <w:t xml:space="preserve">» включает актуальность темы исследования, обзор литературы по теме исследования, вытекающая из обзора постановка проблемы исследования, формулирование </w:t>
      </w:r>
      <w:r>
        <w:t>ц</w:t>
      </w:r>
      <w:r w:rsidRPr="00066524">
        <w:t>ели и задач исследования.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Цель и задачи исследования должна быть сформулирована ясно, с применением специальной терминологии.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Раздел «</w:t>
      </w:r>
      <w:r w:rsidRPr="00066524">
        <w:rPr>
          <w:caps/>
          <w:lang w:val="en-US"/>
        </w:rPr>
        <w:t>II</w:t>
      </w:r>
      <w:r w:rsidRPr="00066524">
        <w:rPr>
          <w:caps/>
        </w:rPr>
        <w:t>. Теория</w:t>
      </w:r>
      <w:r w:rsidRPr="00066524">
        <w:t>» включает детальное описание теоретических основ исследования и</w:t>
      </w:r>
      <w:r>
        <w:t>/или</w:t>
      </w:r>
      <w:r w:rsidRPr="00066524">
        <w:t xml:space="preserve"> методов проведения экспериментов/наблюдений, позволяющих воспроизвести результаты. Также здесь описываются материалы, приборы, оборудование и другие условия проведения экспериментов/наблюдений.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В разделе «</w:t>
      </w:r>
      <w:r w:rsidRPr="00066524">
        <w:rPr>
          <w:caps/>
          <w:lang w:val="en-US"/>
        </w:rPr>
        <w:t>III</w:t>
      </w:r>
      <w:r w:rsidRPr="00066524">
        <w:rPr>
          <w:caps/>
        </w:rPr>
        <w:t>. Результаты</w:t>
      </w:r>
      <w:r w:rsidRPr="00066524">
        <w:t>» представляют фактические результаты исследования: текст, таблицы, графики, диаграммы, уравнения, фотографии, рисунки.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Раздел «</w:t>
      </w:r>
      <w:r w:rsidRPr="00066524">
        <w:rPr>
          <w:caps/>
          <w:lang w:val="en-US"/>
        </w:rPr>
        <w:t>IV</w:t>
      </w:r>
      <w:r w:rsidRPr="00066524">
        <w:rPr>
          <w:caps/>
        </w:rPr>
        <w:t>. Обсуждение</w:t>
      </w:r>
      <w:r w:rsidRPr="00066524">
        <w:t>» содержит интерпретацию полученных результатов исследования, включая: соответствие полученных результатов гипотезе исследования; ограничения исследования и обобщение его результатов; предложения по практическому применению; предложения по направлению будущих исследований. Не допускается публикация ранее известных результатов без ссылки на источник цитирования.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Раздел «</w:t>
      </w:r>
      <w:r w:rsidRPr="00066524">
        <w:rPr>
          <w:caps/>
          <w:lang w:val="en-US"/>
        </w:rPr>
        <w:t>V</w:t>
      </w:r>
      <w:r w:rsidRPr="00066524">
        <w:rPr>
          <w:caps/>
        </w:rPr>
        <w:t>. Заключение</w:t>
      </w:r>
      <w:r w:rsidRPr="00066524">
        <w:t>» содержит краткие итоги разделов статьи без повторения формулировок, приведённых в них.</w:t>
      </w:r>
    </w:p>
    <w:p w:rsidR="00ED5672" w:rsidRPr="00066524" w:rsidRDefault="00ED5672" w:rsidP="00ED5672">
      <w:pPr>
        <w:spacing w:before="240" w:after="120" w:line="276" w:lineRule="auto"/>
        <w:jc w:val="center"/>
        <w:rPr>
          <w:caps/>
          <w:color w:val="000000"/>
        </w:rPr>
      </w:pPr>
      <w:r w:rsidRPr="00066524">
        <w:rPr>
          <w:caps/>
          <w:color w:val="000000"/>
          <w:lang w:val="en-US"/>
        </w:rPr>
        <w:lastRenderedPageBreak/>
        <w:t>II</w:t>
      </w:r>
      <w:r w:rsidRPr="00066524">
        <w:rPr>
          <w:caps/>
          <w:color w:val="000000"/>
        </w:rPr>
        <w:t>. Теория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 xml:space="preserve">Текст набирается в редакторе </w:t>
      </w:r>
      <w:proofErr w:type="spellStart"/>
      <w:r w:rsidRPr="00066524">
        <w:rPr>
          <w:color w:val="000000"/>
        </w:rPr>
        <w:t>Microsoft</w:t>
      </w:r>
      <w:proofErr w:type="spellEnd"/>
      <w:r w:rsidRPr="00066524">
        <w:rPr>
          <w:color w:val="000000"/>
        </w:rPr>
        <w:t xml:space="preserve"> </w:t>
      </w:r>
      <w:proofErr w:type="spellStart"/>
      <w:r w:rsidRPr="00066524">
        <w:rPr>
          <w:color w:val="000000"/>
        </w:rPr>
        <w:t>Word</w:t>
      </w:r>
      <w:proofErr w:type="spellEnd"/>
      <w:r w:rsidRPr="00066524">
        <w:t>. Размер бумаги – А4 (210</w:t>
      </w:r>
      <w:r w:rsidRPr="00066524">
        <w:sym w:font="Symbol" w:char="F0B4"/>
      </w:r>
      <w:r w:rsidRPr="00066524">
        <w:t xml:space="preserve">297), правое и нижнее поля – 2,2 см, левое и верхнее поля – 1,8 см. Текст – в одну колонку; шрифт – </w:t>
      </w:r>
      <w:r w:rsidRPr="00066524">
        <w:rPr>
          <w:lang w:val="en-US"/>
        </w:rPr>
        <w:t>Times</w:t>
      </w:r>
      <w:r w:rsidRPr="00066524">
        <w:t xml:space="preserve"> </w:t>
      </w:r>
      <w:r w:rsidRPr="00066524">
        <w:rPr>
          <w:lang w:val="en-US"/>
        </w:rPr>
        <w:t>New</w:t>
      </w:r>
      <w:r w:rsidRPr="00066524">
        <w:t xml:space="preserve"> </w:t>
      </w:r>
      <w:r w:rsidRPr="00066524">
        <w:rPr>
          <w:lang w:val="en-US"/>
        </w:rPr>
        <w:t>Roman</w:t>
      </w:r>
      <w:r w:rsidRPr="00066524">
        <w:t>, высота шрифта – 12 пунктов; абзацный отступ – 1,25 см; междустрочный интервал – множитель со значением 1,15; выравнивание текста – по ширине, заголовков – по центру.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 xml:space="preserve">Аббревиатуры пишутся единообразно по всей статье. При первом упоминании термин указывается полностью, а аббревиатура в скобках, например: магистральный нефтепровод (МН). </w:t>
      </w:r>
      <w:proofErr w:type="gramStart"/>
      <w:r w:rsidRPr="00066524">
        <w:t>Аббревиатуры, употребляемые как прилагательные, пишутся через дефис (например:</w:t>
      </w:r>
      <w:proofErr w:type="gramEnd"/>
      <w:r w:rsidRPr="00066524">
        <w:t xml:space="preserve"> </w:t>
      </w:r>
      <w:proofErr w:type="gramStart"/>
      <w:r w:rsidRPr="00066524">
        <w:t>ИК-спектроскопия).</w:t>
      </w:r>
      <w:proofErr w:type="gramEnd"/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 xml:space="preserve">Формулы набираются </w:t>
      </w:r>
      <w:r>
        <w:t xml:space="preserve">только </w:t>
      </w:r>
      <w:r w:rsidRPr="00066524">
        <w:t xml:space="preserve">в стандартном редакторе </w:t>
      </w:r>
      <w:r w:rsidRPr="00066524">
        <w:rPr>
          <w:lang w:val="en-US"/>
        </w:rPr>
        <w:t>Math</w:t>
      </w:r>
      <w:r w:rsidRPr="00066524">
        <w:t xml:space="preserve"> </w:t>
      </w:r>
      <w:r w:rsidRPr="00066524">
        <w:rPr>
          <w:lang w:val="en-US"/>
        </w:rPr>
        <w:t>Type</w:t>
      </w:r>
      <w:r w:rsidRPr="00066524">
        <w:t xml:space="preserve"> (обычный размер 12 </w:t>
      </w:r>
      <w:proofErr w:type="spellStart"/>
      <w:r w:rsidRPr="00066524">
        <w:t>пт</w:t>
      </w:r>
      <w:proofErr w:type="spellEnd"/>
      <w:r w:rsidRPr="00066524">
        <w:t xml:space="preserve">, индекс 10 </w:t>
      </w:r>
      <w:proofErr w:type="spellStart"/>
      <w:r w:rsidRPr="00066524">
        <w:t>пт</w:t>
      </w:r>
      <w:proofErr w:type="spellEnd"/>
      <w:r w:rsidRPr="00066524">
        <w:t xml:space="preserve">, малый индекс 6 </w:t>
      </w:r>
      <w:proofErr w:type="spellStart"/>
      <w:r w:rsidRPr="00066524">
        <w:t>пт</w:t>
      </w:r>
      <w:proofErr w:type="spellEnd"/>
      <w:r w:rsidRPr="00066524">
        <w:t xml:space="preserve">, символ 16 </w:t>
      </w:r>
      <w:proofErr w:type="spellStart"/>
      <w:r w:rsidRPr="00066524">
        <w:t>пт</w:t>
      </w:r>
      <w:proofErr w:type="spellEnd"/>
      <w:r w:rsidRPr="00066524">
        <w:t xml:space="preserve">, малый символ 12 пт.). </w:t>
      </w:r>
      <w:r w:rsidRPr="00066524">
        <w:rPr>
          <w:color w:val="000000"/>
        </w:rPr>
        <w:t xml:space="preserve">Формулы должны  располагаться по центру, </w:t>
      </w:r>
      <w:r w:rsidRPr="00066524">
        <w:t>пояснения к формуле даются, при необходимости, на следующей строке</w:t>
      </w:r>
      <w:r>
        <w:t>:</w:t>
      </w:r>
      <w:r w:rsidRPr="00066524">
        <w:t xml:space="preserve"> каждый символ</w:t>
      </w:r>
      <w:r>
        <w:t>, входящий в формулу,</w:t>
      </w:r>
      <w:r w:rsidRPr="00066524">
        <w:t xml:space="preserve"> поясняется с новой строки, причём первая строка начинается со слова «где» и размещается без абзацного отступа, остальные размещаются с новой строки с абзацного отступа. Пример:</w:t>
      </w:r>
    </w:p>
    <w:p w:rsidR="00ED5672" w:rsidRPr="00066524" w:rsidRDefault="00ED5672" w:rsidP="00ED5672">
      <w:pPr>
        <w:spacing w:line="276" w:lineRule="auto"/>
        <w:jc w:val="right"/>
      </w:pPr>
      <w:r w:rsidRPr="00066524">
        <w:rPr>
          <w:position w:val="-32"/>
        </w:rPr>
        <w:object w:dxaOrig="171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38.25pt" o:ole="">
            <v:imagedata r:id="rId8" o:title=""/>
          </v:shape>
          <o:OLEObject Type="Embed" ProgID="Equation.DSMT4" ShapeID="_x0000_i1025" DrawAspect="Content" ObjectID="_1646031073" r:id="rId9"/>
        </w:object>
      </w:r>
      <w:r w:rsidRPr="00066524">
        <w:t>,</w:t>
      </w:r>
      <w:r w:rsidRPr="00066524">
        <w:tab/>
      </w:r>
      <w:r w:rsidRPr="00066524">
        <w:tab/>
      </w:r>
      <w:r w:rsidRPr="00066524">
        <w:tab/>
      </w:r>
      <w:r w:rsidRPr="00066524">
        <w:tab/>
      </w:r>
      <w:r w:rsidRPr="00066524">
        <w:tab/>
        <w:t>(1)</w:t>
      </w:r>
    </w:p>
    <w:p w:rsidR="00ED5672" w:rsidRPr="00066524" w:rsidRDefault="00ED5672" w:rsidP="00ED5672">
      <w:p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где</w:t>
      </w:r>
      <w:r w:rsidRPr="00066524">
        <w:rPr>
          <w:color w:val="000000"/>
        </w:rPr>
        <w:tab/>
      </w:r>
      <w:proofErr w:type="spellStart"/>
      <w:r w:rsidRPr="00066524">
        <w:rPr>
          <w:i/>
          <w:color w:val="000000"/>
          <w:lang w:val="en-US"/>
        </w:rPr>
        <w:t>a</w:t>
      </w:r>
      <w:r w:rsidRPr="00066524">
        <w:rPr>
          <w:i/>
          <w:color w:val="000000"/>
          <w:vertAlign w:val="subscript"/>
          <w:lang w:val="en-US"/>
        </w:rPr>
        <w:t>i</w:t>
      </w:r>
      <w:proofErr w:type="spellEnd"/>
      <w:r w:rsidRPr="00066524">
        <w:rPr>
          <w:color w:val="000000"/>
        </w:rPr>
        <w:t xml:space="preserve"> – объёмная доля </w:t>
      </w:r>
      <w:proofErr w:type="spellStart"/>
      <w:r w:rsidRPr="00066524">
        <w:rPr>
          <w:i/>
          <w:color w:val="000000"/>
          <w:lang w:val="en-US"/>
        </w:rPr>
        <w:t>i</w:t>
      </w:r>
      <w:proofErr w:type="spellEnd"/>
      <w:r w:rsidRPr="00066524">
        <w:rPr>
          <w:color w:val="000000"/>
        </w:rPr>
        <w:t>-го компонента смеси, доли;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proofErr w:type="spellStart"/>
      <w:r w:rsidRPr="00066524">
        <w:rPr>
          <w:i/>
          <w:color w:val="000000"/>
          <w:lang w:val="en-US"/>
        </w:rPr>
        <w:t>M</w:t>
      </w:r>
      <w:r w:rsidRPr="00066524">
        <w:rPr>
          <w:i/>
          <w:color w:val="000000"/>
          <w:vertAlign w:val="subscript"/>
          <w:lang w:val="en-US"/>
        </w:rPr>
        <w:t>i</w:t>
      </w:r>
      <w:proofErr w:type="spellEnd"/>
      <w:r w:rsidRPr="00066524">
        <w:rPr>
          <w:color w:val="000000"/>
        </w:rPr>
        <w:t xml:space="preserve"> – молярная масса </w:t>
      </w:r>
      <w:proofErr w:type="spellStart"/>
      <w:r w:rsidRPr="00066524">
        <w:rPr>
          <w:i/>
          <w:color w:val="000000"/>
          <w:lang w:val="en-US"/>
        </w:rPr>
        <w:t>i</w:t>
      </w:r>
      <w:proofErr w:type="spellEnd"/>
      <w:r w:rsidRPr="00066524">
        <w:rPr>
          <w:color w:val="000000"/>
        </w:rPr>
        <w:t>-го компонента смеси, кг/моль.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>Используется сквозная нумерация формул по порядку следования в статье. Если ссылки на формулу не предусмотрены по тексту, формула не нумеруется. Номер формулы указывается в круглых скобках с правого края. При ссылке на формулу в тексте статьи номер формулы указывается также в круглых скобках.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 xml:space="preserve">Не допускается использовать </w:t>
      </w:r>
      <w:r w:rsidRPr="00066524">
        <w:rPr>
          <w:lang w:val="en-US"/>
        </w:rPr>
        <w:t>Math</w:t>
      </w:r>
      <w:r w:rsidRPr="00066524">
        <w:t xml:space="preserve"> </w:t>
      </w:r>
      <w:r w:rsidRPr="00066524">
        <w:rPr>
          <w:lang w:val="en-US"/>
        </w:rPr>
        <w:t>Type</w:t>
      </w:r>
      <w:r w:rsidRPr="00066524">
        <w:t xml:space="preserve"> или </w:t>
      </w:r>
      <w:r w:rsidRPr="00066524">
        <w:rPr>
          <w:lang w:val="en-US"/>
        </w:rPr>
        <w:t>Word</w:t>
      </w:r>
      <w:r w:rsidRPr="00066524">
        <w:t xml:space="preserve"> </w:t>
      </w:r>
      <w:r w:rsidRPr="00066524">
        <w:rPr>
          <w:lang w:val="en-US"/>
        </w:rPr>
        <w:t>Equation</w:t>
      </w:r>
      <w:r w:rsidRPr="00066524">
        <w:t xml:space="preserve"> в абзацах</w:t>
      </w:r>
      <w:r>
        <w:t xml:space="preserve"> для набора символов, а также верхних и нижних индексов</w:t>
      </w:r>
      <w:r w:rsidRPr="00066524">
        <w:rPr>
          <w:color w:val="000000"/>
        </w:rPr>
        <w:t xml:space="preserve">: все символы физических величин за пределами формул набираются непосредственно в тексте статьи с использованием шрифта </w:t>
      </w:r>
      <w:proofErr w:type="spellStart"/>
      <w:r w:rsidRPr="00066524">
        <w:rPr>
          <w:color w:val="000000"/>
        </w:rPr>
        <w:t>Times</w:t>
      </w:r>
      <w:proofErr w:type="spellEnd"/>
      <w:r w:rsidRPr="00066524">
        <w:rPr>
          <w:color w:val="000000"/>
        </w:rPr>
        <w:t xml:space="preserve"> </w:t>
      </w:r>
      <w:proofErr w:type="spellStart"/>
      <w:r w:rsidRPr="00066524">
        <w:rPr>
          <w:color w:val="000000"/>
        </w:rPr>
        <w:t>New</w:t>
      </w:r>
      <w:proofErr w:type="spellEnd"/>
      <w:r w:rsidRPr="00066524">
        <w:rPr>
          <w:color w:val="000000"/>
        </w:rPr>
        <w:t xml:space="preserve"> </w:t>
      </w:r>
      <w:proofErr w:type="spellStart"/>
      <w:r w:rsidRPr="00066524">
        <w:rPr>
          <w:color w:val="000000"/>
        </w:rPr>
        <w:t>Roman</w:t>
      </w:r>
      <w:proofErr w:type="spellEnd"/>
      <w:r w:rsidRPr="00066524">
        <w:rPr>
          <w:color w:val="000000"/>
        </w:rPr>
        <w:t xml:space="preserve"> 12 пунктов, с использованием «надстрочных» и «подстрочных» знаков и</w:t>
      </w:r>
      <w:r>
        <w:rPr>
          <w:color w:val="000000"/>
        </w:rPr>
        <w:t>,</w:t>
      </w:r>
      <w:r w:rsidRPr="00066524">
        <w:rPr>
          <w:color w:val="000000"/>
        </w:rPr>
        <w:t xml:space="preserve"> при необходимости</w:t>
      </w:r>
      <w:r>
        <w:rPr>
          <w:color w:val="000000"/>
        </w:rPr>
        <w:t>,</w:t>
      </w:r>
      <w:r w:rsidRPr="00066524">
        <w:rPr>
          <w:color w:val="000000"/>
        </w:rPr>
        <w:t xml:space="preserve"> </w:t>
      </w:r>
      <w:r>
        <w:rPr>
          <w:color w:val="000000"/>
        </w:rPr>
        <w:t>вставки</w:t>
      </w:r>
      <w:r w:rsidRPr="00066524">
        <w:rPr>
          <w:color w:val="000000"/>
        </w:rPr>
        <w:t xml:space="preserve"> «Символ».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rPr>
          <w:color w:val="000000"/>
        </w:rPr>
        <w:t>Для указания размерности физических величин в тексте статьи используются единиц системы СИ, использование внесистемных единиц допускается лишь в тех случаях, когда это является общепринятым стандартом обозначения в той или иной отрасли.</w:t>
      </w:r>
      <w:r w:rsidRPr="00066524">
        <w:t xml:space="preserve"> Размерности переменных пишутся через запятую (</w:t>
      </w:r>
      <w:r w:rsidRPr="00066524">
        <w:rPr>
          <w:lang w:val="en-US"/>
        </w:rPr>
        <w:t>E</w:t>
      </w:r>
      <w:r w:rsidRPr="00066524">
        <w:t xml:space="preserve">, кДж/моль). Угловые градусы никогда не опускаются: </w:t>
      </w:r>
      <w:r>
        <w:t>диапазон 5°–10°, а не 5–</w:t>
      </w:r>
      <w:r w:rsidRPr="00066524">
        <w:t xml:space="preserve">10°; на осях рисунков: </w:t>
      </w:r>
      <w:r w:rsidRPr="00066524">
        <w:rPr>
          <w:lang w:val="en-US"/>
        </w:rPr>
        <w:t>θ</w:t>
      </w:r>
      <w:r w:rsidRPr="00066524">
        <w:t xml:space="preserve">, град, а не </w:t>
      </w:r>
      <w:r w:rsidRPr="00066524">
        <w:rPr>
          <w:lang w:val="en-US"/>
        </w:rPr>
        <w:t>θ</w:t>
      </w:r>
      <w:r w:rsidRPr="00066524">
        <w:t xml:space="preserve">°. 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В качестве десятичного символа всегда используется запятая: 5,25.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В качестве знака кавычек использовать «…».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Для обозначения интервалов величин использовать знак «тире» без пробелов, например: в диапазоне 2,5–5,5 МПа.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 xml:space="preserve">При создании маркированных списков используется знак «–», каждая следующая строка начинается с маленькой буквы, в конце промежуточной строки ставится знак «;», а в конце списка – «.» (см. пример в разделе </w:t>
      </w:r>
      <w:r w:rsidRPr="00066524">
        <w:rPr>
          <w:lang w:val="en-US"/>
        </w:rPr>
        <w:t>V</w:t>
      </w:r>
      <w:r w:rsidRPr="00066524">
        <w:t xml:space="preserve">). Нумерованные списки создаются, когда необходимо сослаться на одни или несколько из перечисленных пунктов, а также прокомментировать информацию, представленную на рисунке. Оформление аналогично </w:t>
      </w:r>
      <w:r w:rsidRPr="00066524">
        <w:lastRenderedPageBreak/>
        <w:t xml:space="preserve">оформлению маркированного списка (см. пример в разделе </w:t>
      </w:r>
      <w:r w:rsidRPr="00066524">
        <w:rPr>
          <w:lang w:val="en-US"/>
        </w:rPr>
        <w:t>IV</w:t>
      </w:r>
      <w:r w:rsidRPr="00066524">
        <w:t>), цифра или буква дополняется правой скобкой.</w:t>
      </w:r>
    </w:p>
    <w:p w:rsidR="00ED5672" w:rsidRPr="00066524" w:rsidRDefault="00ED5672" w:rsidP="00ED5672">
      <w:pPr>
        <w:spacing w:before="240" w:after="120" w:line="276" w:lineRule="auto"/>
        <w:jc w:val="center"/>
        <w:rPr>
          <w:smallCaps/>
          <w:color w:val="000000"/>
        </w:rPr>
      </w:pPr>
      <w:r w:rsidRPr="00066524">
        <w:rPr>
          <w:smallCaps/>
          <w:color w:val="000000"/>
          <w:lang w:val="en-US"/>
        </w:rPr>
        <w:t>III</w:t>
      </w:r>
      <w:r w:rsidRPr="00066524">
        <w:rPr>
          <w:smallCaps/>
          <w:color w:val="000000"/>
        </w:rPr>
        <w:t xml:space="preserve">. </w:t>
      </w:r>
      <w:r w:rsidRPr="00066524">
        <w:rPr>
          <w:caps/>
          <w:color w:val="000000"/>
        </w:rPr>
        <w:t>Результаты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 xml:space="preserve">Рисунки и фотографии должны быть четкие, хорошего качества. </w:t>
      </w:r>
      <w:r w:rsidRPr="00066524">
        <w:t xml:space="preserve">Рисунки в тексте должны иметь формат </w:t>
      </w:r>
      <w:r w:rsidRPr="00066524">
        <w:rPr>
          <w:lang w:val="en-US"/>
        </w:rPr>
        <w:t>jpeg</w:t>
      </w:r>
      <w:r w:rsidRPr="00066524">
        <w:t xml:space="preserve">, обтекание текстов выбирать «в тексте», расположение – по центру. Подрисуночная надпись: сокращение «Рис.», далее номер рисунка в тексте, точка, название (при необходимости) с заглавной буквы, далее двоеточие и пояснение элементов рисунка (при необходимости). </w:t>
      </w:r>
      <w:r w:rsidRPr="00066524">
        <w:rPr>
          <w:color w:val="000000"/>
        </w:rPr>
        <w:t xml:space="preserve">Расположение подрисуночных подписей внутри рисунка не допускается, подписи набираются непосредственно в тексте статьи с использованием шрифта </w:t>
      </w:r>
      <w:proofErr w:type="spellStart"/>
      <w:r w:rsidRPr="00066524">
        <w:rPr>
          <w:color w:val="000000"/>
        </w:rPr>
        <w:t>Times</w:t>
      </w:r>
      <w:proofErr w:type="spellEnd"/>
      <w:r w:rsidRPr="00066524">
        <w:rPr>
          <w:color w:val="000000"/>
        </w:rPr>
        <w:t xml:space="preserve"> </w:t>
      </w:r>
      <w:proofErr w:type="spellStart"/>
      <w:r w:rsidRPr="00066524">
        <w:rPr>
          <w:color w:val="000000"/>
        </w:rPr>
        <w:t>New</w:t>
      </w:r>
      <w:proofErr w:type="spellEnd"/>
      <w:r w:rsidRPr="00066524">
        <w:rPr>
          <w:color w:val="000000"/>
        </w:rPr>
        <w:t xml:space="preserve"> </w:t>
      </w:r>
      <w:proofErr w:type="spellStart"/>
      <w:r w:rsidRPr="00066524">
        <w:rPr>
          <w:color w:val="000000"/>
        </w:rPr>
        <w:t>Roman</w:t>
      </w:r>
      <w:proofErr w:type="spellEnd"/>
      <w:r w:rsidRPr="00066524">
        <w:rPr>
          <w:color w:val="000000"/>
        </w:rPr>
        <w:t xml:space="preserve"> 12 пунктов. Подписи к рисункам должны быть отформатированы по центру. После подписи к рисунку следует отступ 6 пунктов. При ссылке на рисунок в тексте статьи допускается только сокращение «</w:t>
      </w:r>
      <w:r w:rsidRPr="00066524">
        <w:rPr>
          <w:color w:val="000000"/>
          <w:lang w:val="en-US"/>
        </w:rPr>
        <w:t>p</w:t>
      </w:r>
      <w:proofErr w:type="spellStart"/>
      <w:r w:rsidRPr="00066524">
        <w:rPr>
          <w:color w:val="000000"/>
        </w:rPr>
        <w:t>ис</w:t>
      </w:r>
      <w:proofErr w:type="spellEnd"/>
      <w:r w:rsidRPr="00066524">
        <w:rPr>
          <w:color w:val="000000"/>
        </w:rPr>
        <w:t>.», которое пишется со строчной буквы. Рисунки нумеруются арабскими цифрами по порядку следования в тексте.</w:t>
      </w:r>
    </w:p>
    <w:p w:rsidR="00ED5672" w:rsidRPr="00066524" w:rsidRDefault="00ED5672" w:rsidP="00ED5672">
      <w:pPr>
        <w:spacing w:line="276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738255" cy="1543792"/>
            <wp:effectExtent l="0" t="0" r="5715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D5672" w:rsidRPr="00066524" w:rsidRDefault="00ED5672" w:rsidP="00ED5672">
      <w:pPr>
        <w:spacing w:after="240" w:line="276" w:lineRule="auto"/>
        <w:jc w:val="center"/>
        <w:rPr>
          <w:i/>
          <w:color w:val="000000"/>
        </w:rPr>
      </w:pPr>
      <w:r w:rsidRPr="00066524">
        <w:rPr>
          <w:noProof/>
        </w:rPr>
        <w:t>Рис. 1. Название рисунка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 xml:space="preserve">Таблицы нумеруются арабскими цифрами по порядку следования в тексте. Заголовок таблицы выполняется шрифтом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12 пунктов: слово </w:t>
      </w:r>
      <w:r w:rsidRPr="00066524">
        <w:t>«Таблица», далее номер таблицы в тексте, точка, название (при необходимости) с заглавной буквы.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 xml:space="preserve">Количество столбцов и строк в таблице определяется автором. Шрифт для содержимого таблицы устанавливается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</w:t>
      </w:r>
      <w:r>
        <w:rPr>
          <w:color w:val="000000"/>
        </w:rPr>
        <w:t>2 пунктов</w:t>
      </w:r>
      <w:r w:rsidRPr="00066524">
        <w:rPr>
          <w:color w:val="000000"/>
        </w:rPr>
        <w:t>. Таблица располагается по центру, перед таблицей отступ 12 пунктов.</w:t>
      </w:r>
      <w:r>
        <w:rPr>
          <w:color w:val="000000"/>
        </w:rPr>
        <w:t xml:space="preserve"> При ссылке по тексту слово «таблица» пишут с маленькой буквы и полностью, например: смотри таблицу 1.</w:t>
      </w:r>
    </w:p>
    <w:p w:rsidR="00ED5672" w:rsidRPr="00066524" w:rsidRDefault="00ED5672" w:rsidP="00ED5672">
      <w:pPr>
        <w:spacing w:before="240" w:line="276" w:lineRule="auto"/>
        <w:jc w:val="center"/>
        <w:rPr>
          <w:caps/>
          <w:color w:val="000000"/>
        </w:rPr>
      </w:pPr>
      <w:r w:rsidRPr="00066524">
        <w:rPr>
          <w:color w:val="000000"/>
        </w:rPr>
        <w:t>Таблица 1</w:t>
      </w:r>
      <w:r w:rsidRPr="00066524">
        <w:rPr>
          <w:color w:val="000000"/>
          <w:lang w:val="en-US"/>
        </w:rPr>
        <w:t xml:space="preserve">. </w:t>
      </w:r>
      <w:r w:rsidRPr="00066524">
        <w:rPr>
          <w:color w:val="000000"/>
        </w:rPr>
        <w:t>Название таблицы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1257"/>
        <w:gridCol w:w="1055"/>
      </w:tblGrid>
      <w:tr w:rsidR="00ED5672" w:rsidRPr="00066524" w:rsidTr="00B4121A">
        <w:trPr>
          <w:trHeight w:val="217"/>
          <w:jc w:val="center"/>
        </w:trPr>
        <w:tc>
          <w:tcPr>
            <w:tcW w:w="2359" w:type="dxa"/>
            <w:vAlign w:val="center"/>
          </w:tcPr>
          <w:p w:rsidR="00ED5672" w:rsidRPr="00066524" w:rsidRDefault="00ED5672" w:rsidP="00B4121A">
            <w:pPr>
              <w:spacing w:line="276" w:lineRule="auto"/>
              <w:jc w:val="center"/>
              <w:rPr>
                <w:color w:val="000000"/>
              </w:rPr>
            </w:pPr>
            <w:r w:rsidRPr="00066524">
              <w:rPr>
                <w:color w:val="000000"/>
              </w:rPr>
              <w:t>Подача насоса, м</w:t>
            </w:r>
            <w:r w:rsidRPr="00066524">
              <w:rPr>
                <w:color w:val="000000"/>
                <w:vertAlign w:val="superscript"/>
              </w:rPr>
              <w:t>3</w:t>
            </w:r>
            <w:r w:rsidRPr="00066524">
              <w:rPr>
                <w:color w:val="000000"/>
              </w:rPr>
              <w:t>/ч</w:t>
            </w:r>
          </w:p>
        </w:tc>
        <w:tc>
          <w:tcPr>
            <w:tcW w:w="1257" w:type="dxa"/>
            <w:vAlign w:val="center"/>
          </w:tcPr>
          <w:p w:rsidR="00ED5672" w:rsidRPr="00066524" w:rsidRDefault="00ED5672" w:rsidP="00B4121A">
            <w:pPr>
              <w:spacing w:line="276" w:lineRule="auto"/>
              <w:jc w:val="center"/>
              <w:rPr>
                <w:color w:val="000000"/>
              </w:rPr>
            </w:pPr>
            <w:r w:rsidRPr="00066524">
              <w:rPr>
                <w:color w:val="000000"/>
              </w:rPr>
              <w:t>Напор, м</w:t>
            </w:r>
          </w:p>
        </w:tc>
        <w:tc>
          <w:tcPr>
            <w:tcW w:w="1055" w:type="dxa"/>
            <w:vAlign w:val="center"/>
          </w:tcPr>
          <w:p w:rsidR="00ED5672" w:rsidRPr="00066524" w:rsidRDefault="00ED5672" w:rsidP="00B4121A">
            <w:pPr>
              <w:spacing w:line="276" w:lineRule="auto"/>
              <w:jc w:val="center"/>
              <w:rPr>
                <w:color w:val="000000"/>
              </w:rPr>
            </w:pPr>
            <w:r w:rsidRPr="00066524">
              <w:rPr>
                <w:color w:val="000000"/>
              </w:rPr>
              <w:t>КПД, %</w:t>
            </w:r>
          </w:p>
        </w:tc>
      </w:tr>
      <w:tr w:rsidR="00ED5672" w:rsidRPr="00066524" w:rsidTr="00B4121A">
        <w:trPr>
          <w:jc w:val="center"/>
        </w:trPr>
        <w:tc>
          <w:tcPr>
            <w:tcW w:w="2359" w:type="dxa"/>
          </w:tcPr>
          <w:p w:rsidR="00ED5672" w:rsidRPr="00066524" w:rsidRDefault="00ED5672" w:rsidP="00B4121A">
            <w:pPr>
              <w:spacing w:line="276" w:lineRule="auto"/>
              <w:jc w:val="center"/>
              <w:rPr>
                <w:color w:val="000000"/>
              </w:rPr>
            </w:pPr>
            <w:r w:rsidRPr="00066524">
              <w:rPr>
                <w:color w:val="000000"/>
              </w:rPr>
              <w:t>0</w:t>
            </w:r>
          </w:p>
        </w:tc>
        <w:tc>
          <w:tcPr>
            <w:tcW w:w="1257" w:type="dxa"/>
          </w:tcPr>
          <w:p w:rsidR="00ED5672" w:rsidRPr="00066524" w:rsidRDefault="00ED5672" w:rsidP="00B4121A">
            <w:pPr>
              <w:spacing w:line="276" w:lineRule="auto"/>
              <w:jc w:val="center"/>
              <w:rPr>
                <w:color w:val="000000"/>
              </w:rPr>
            </w:pPr>
            <w:r w:rsidRPr="00066524">
              <w:rPr>
                <w:color w:val="000000"/>
              </w:rPr>
              <w:t>300</w:t>
            </w:r>
          </w:p>
        </w:tc>
        <w:tc>
          <w:tcPr>
            <w:tcW w:w="1055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0</w:t>
            </w:r>
          </w:p>
        </w:tc>
      </w:tr>
      <w:tr w:rsidR="00ED5672" w:rsidRPr="00066524" w:rsidTr="00B4121A">
        <w:trPr>
          <w:jc w:val="center"/>
        </w:trPr>
        <w:tc>
          <w:tcPr>
            <w:tcW w:w="2359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500</w:t>
            </w:r>
          </w:p>
        </w:tc>
        <w:tc>
          <w:tcPr>
            <w:tcW w:w="1257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290</w:t>
            </w:r>
          </w:p>
        </w:tc>
        <w:tc>
          <w:tcPr>
            <w:tcW w:w="1055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30</w:t>
            </w:r>
          </w:p>
        </w:tc>
      </w:tr>
      <w:tr w:rsidR="00ED5672" w:rsidRPr="00066524" w:rsidTr="00B4121A">
        <w:trPr>
          <w:jc w:val="center"/>
        </w:trPr>
        <w:tc>
          <w:tcPr>
            <w:tcW w:w="2359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1000</w:t>
            </w:r>
          </w:p>
        </w:tc>
        <w:tc>
          <w:tcPr>
            <w:tcW w:w="1257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275</w:t>
            </w:r>
          </w:p>
        </w:tc>
        <w:tc>
          <w:tcPr>
            <w:tcW w:w="1055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75</w:t>
            </w:r>
          </w:p>
        </w:tc>
      </w:tr>
      <w:tr w:rsidR="00ED5672" w:rsidRPr="00066524" w:rsidTr="00B4121A">
        <w:trPr>
          <w:jc w:val="center"/>
        </w:trPr>
        <w:tc>
          <w:tcPr>
            <w:tcW w:w="2359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1500</w:t>
            </w:r>
          </w:p>
        </w:tc>
        <w:tc>
          <w:tcPr>
            <w:tcW w:w="1257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260</w:t>
            </w:r>
          </w:p>
        </w:tc>
        <w:tc>
          <w:tcPr>
            <w:tcW w:w="1055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70</w:t>
            </w:r>
          </w:p>
        </w:tc>
      </w:tr>
    </w:tbl>
    <w:p w:rsidR="00ED5672" w:rsidRPr="00066524" w:rsidRDefault="00ED5672" w:rsidP="00ED5672">
      <w:pPr>
        <w:spacing w:before="240" w:after="120" w:line="276" w:lineRule="auto"/>
        <w:jc w:val="center"/>
        <w:rPr>
          <w:caps/>
          <w:color w:val="000000"/>
        </w:rPr>
      </w:pPr>
      <w:r w:rsidRPr="00066524">
        <w:rPr>
          <w:smallCaps/>
          <w:color w:val="000000"/>
          <w:lang w:val="en-US"/>
        </w:rPr>
        <w:t>IV</w:t>
      </w:r>
      <w:r w:rsidRPr="00066524">
        <w:rPr>
          <w:smallCaps/>
          <w:color w:val="000000"/>
        </w:rPr>
        <w:t xml:space="preserve">. </w:t>
      </w:r>
      <w:r w:rsidRPr="00066524">
        <w:rPr>
          <w:caps/>
          <w:color w:val="000000"/>
        </w:rPr>
        <w:t>Обсуждение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>При сравнении полученных авторами теоретических и экспериментальных результатов с результатами работ, выполненных ранее, необходимо ссылаться на источник, где эти результаты были описаны.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lastRenderedPageBreak/>
        <w:t>«СПИСОК ИСТОЧНИКОВ» указывается отдельным ненумерованным разделом. Нумерация источников производится в порядке цитирования и указывается в квадратных скобках, например [1].</w:t>
      </w:r>
      <w:r w:rsidRPr="006476EA">
        <w:t xml:space="preserve"> Исключается использование в докладе ссыл</w:t>
      </w:r>
      <w:r>
        <w:t>ок</w:t>
      </w:r>
      <w:r w:rsidRPr="006476EA">
        <w:t xml:space="preserve"> на учебники и учебно-методические пособия,</w:t>
      </w:r>
      <w:r>
        <w:t xml:space="preserve"> а также</w:t>
      </w:r>
      <w:r w:rsidRPr="006476EA">
        <w:t xml:space="preserve"> рукописи (авторефераты и дисс</w:t>
      </w:r>
      <w:r>
        <w:t xml:space="preserve">ертации), следует избегать излишнего </w:t>
      </w:r>
      <w:proofErr w:type="spellStart"/>
      <w:r>
        <w:t>самоцитирования</w:t>
      </w:r>
      <w:proofErr w:type="spellEnd"/>
      <w:r>
        <w:t>.</w:t>
      </w:r>
    </w:p>
    <w:p w:rsidR="00ED5672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 xml:space="preserve">Библиографическое описание выполняется шрифтом </w:t>
      </w:r>
      <w:proofErr w:type="spellStart"/>
      <w:r w:rsidRPr="00066524">
        <w:rPr>
          <w:color w:val="000000"/>
        </w:rPr>
        <w:t>Times</w:t>
      </w:r>
      <w:proofErr w:type="spellEnd"/>
      <w:r w:rsidRPr="00066524">
        <w:rPr>
          <w:color w:val="000000"/>
        </w:rPr>
        <w:t xml:space="preserve"> </w:t>
      </w:r>
      <w:proofErr w:type="spellStart"/>
      <w:r w:rsidRPr="00066524">
        <w:rPr>
          <w:color w:val="000000"/>
        </w:rPr>
        <w:t>New</w:t>
      </w:r>
      <w:proofErr w:type="spellEnd"/>
      <w:r w:rsidRPr="00066524">
        <w:rPr>
          <w:color w:val="000000"/>
        </w:rPr>
        <w:t xml:space="preserve"> </w:t>
      </w:r>
      <w:proofErr w:type="spellStart"/>
      <w:r w:rsidRPr="00066524">
        <w:rPr>
          <w:color w:val="000000"/>
        </w:rPr>
        <w:t>Roman</w:t>
      </w:r>
      <w:proofErr w:type="spellEnd"/>
      <w:r w:rsidRPr="00066524">
        <w:rPr>
          <w:color w:val="000000"/>
        </w:rPr>
        <w:t xml:space="preserve"> 10, без абзацного отступа.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 xml:space="preserve">Ниже в разделе «СПИСОК ИСТОЧНИКОВ» представлены примеры оформления библиографического описания источников в следующем порядке: 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монография с одним–тремя авторами;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монографии с количеством авторов более трёх;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справочник;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статьи одного–трёх авторов в журнале (в сборнике трудов);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статьи с количеством авторов более трёх в журнале (в сборнике научных трудов);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электронный ресурс;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книга на английском языке;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статья в журнале на английском языке;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электронный ресурс на английском языке.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>Библиографическое описание источников на английском языке производится аналогично.</w:t>
      </w:r>
    </w:p>
    <w:p w:rsidR="00ED5672" w:rsidRPr="00066524" w:rsidRDefault="00ED5672" w:rsidP="00ED5672">
      <w:pPr>
        <w:spacing w:before="240" w:after="120" w:line="276" w:lineRule="auto"/>
        <w:jc w:val="center"/>
        <w:rPr>
          <w:smallCaps/>
          <w:color w:val="000000"/>
        </w:rPr>
      </w:pPr>
      <w:r w:rsidRPr="00066524">
        <w:rPr>
          <w:smallCaps/>
          <w:color w:val="000000"/>
          <w:lang w:val="en-US"/>
        </w:rPr>
        <w:t>V</w:t>
      </w:r>
      <w:r w:rsidRPr="00066524">
        <w:rPr>
          <w:smallCaps/>
          <w:color w:val="000000"/>
        </w:rPr>
        <w:t xml:space="preserve">. </w:t>
      </w:r>
      <w:r w:rsidRPr="00066524">
        <w:rPr>
          <w:caps/>
          <w:color w:val="000000"/>
        </w:rPr>
        <w:t>Заключение</w:t>
      </w:r>
    </w:p>
    <w:p w:rsidR="00ED5672" w:rsidRPr="00066524" w:rsidRDefault="00ED5672" w:rsidP="00ED567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066524">
        <w:t>Порядок представления материалов: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</w:pPr>
      <w:r w:rsidRPr="00066524">
        <w:t>на первой строке в левом верхнем углу проставляется индекс УДК (третьего уровня);</w:t>
      </w:r>
    </w:p>
    <w:p w:rsidR="00ED5672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</w:pPr>
      <w:r w:rsidRPr="00066524">
        <w:rPr>
          <w:iCs/>
        </w:rPr>
        <w:t xml:space="preserve">на второй (следующей за УДК) строке </w:t>
      </w:r>
      <w:r w:rsidRPr="00066524">
        <w:rPr>
          <w:color w:val="000000"/>
        </w:rPr>
        <w:t xml:space="preserve">шрифтом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12 пункта (интервал перед строкой – 12 пунктов, после строки – 6 пунктов)</w:t>
      </w:r>
      <w:r w:rsidRPr="00066524">
        <w:t xml:space="preserve"> прописными буквами полужирного начертания по центру указывается название статьи, </w:t>
      </w:r>
      <w:r w:rsidRPr="00066524">
        <w:rPr>
          <w:color w:val="000000"/>
        </w:rPr>
        <w:t>точка в конце не ставится</w:t>
      </w:r>
      <w:r w:rsidRPr="00066524">
        <w:t>;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</w:pPr>
      <w:r>
        <w:t xml:space="preserve">если представленные в статье исследования имели финансовую поддержку, то в конце названия указывается знак «*», а после ключевых слов </w:t>
      </w:r>
      <w:proofErr w:type="spellStart"/>
      <w:r>
        <w:t>указвыается</w:t>
      </w:r>
      <w:proofErr w:type="spellEnd"/>
      <w:r>
        <w:t xml:space="preserve"> источник финансирования;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</w:pPr>
      <w:r w:rsidRPr="00066524">
        <w:rPr>
          <w:iCs/>
        </w:rPr>
        <w:t xml:space="preserve">на третьей (следующей за названием статьи) строке </w:t>
      </w:r>
      <w:r w:rsidRPr="00066524">
        <w:rPr>
          <w:color w:val="000000"/>
        </w:rPr>
        <w:t xml:space="preserve">шрифтом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12 пункта (интервал перед строкой 12 пунктов) по центру </w:t>
      </w:r>
      <w:r w:rsidRPr="00066524">
        <w:rPr>
          <w:iCs/>
        </w:rPr>
        <w:t>указываются инициалы и фамилия</w:t>
      </w:r>
      <w:r w:rsidRPr="00066524">
        <w:rPr>
          <w:color w:val="000000"/>
        </w:rPr>
        <w:t xml:space="preserve"> авторов</w:t>
      </w:r>
      <w:r w:rsidRPr="00066524">
        <w:t>;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 w:rsidRPr="00066524">
        <w:rPr>
          <w:iCs/>
        </w:rPr>
        <w:t xml:space="preserve">на четвёртой (следующей за инициалами и фамилиями авторов) строке </w:t>
      </w:r>
      <w:r w:rsidRPr="00066524">
        <w:rPr>
          <w:color w:val="000000"/>
        </w:rPr>
        <w:t xml:space="preserve">шрифтом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12 курсивом по центру указывает(ют)</w:t>
      </w:r>
      <w:proofErr w:type="spellStart"/>
      <w:r w:rsidRPr="00066524">
        <w:rPr>
          <w:color w:val="000000"/>
        </w:rPr>
        <w:t>ся</w:t>
      </w:r>
      <w:proofErr w:type="spellEnd"/>
      <w:r w:rsidRPr="00066524">
        <w:rPr>
          <w:color w:val="000000"/>
        </w:rPr>
        <w:t xml:space="preserve"> организация(и), в которой(</w:t>
      </w:r>
      <w:proofErr w:type="spellStart"/>
      <w:r w:rsidRPr="00066524">
        <w:rPr>
          <w:color w:val="000000"/>
        </w:rPr>
        <w:t>ых</w:t>
      </w:r>
      <w:proofErr w:type="spellEnd"/>
      <w:r w:rsidRPr="00066524">
        <w:rPr>
          <w:color w:val="000000"/>
        </w:rPr>
        <w:t>) работает(ют) автор(ы): если статья имеет несколько соавторов, работающих в разных организациях, то все организации указываются одна под другой, а для указания принадлежности конкретного автора к конкретной организации используется система цифровых надстрочных индексов;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 w:rsidRPr="00066524">
        <w:t xml:space="preserve">аннотация выполняется </w:t>
      </w:r>
      <w:r w:rsidRPr="00066524">
        <w:rPr>
          <w:color w:val="000000"/>
        </w:rPr>
        <w:t xml:space="preserve">шрифтом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</w:t>
      </w:r>
      <w:r>
        <w:rPr>
          <w:color w:val="000000"/>
        </w:rPr>
        <w:t>0</w:t>
      </w:r>
      <w:r w:rsidRPr="00066524">
        <w:rPr>
          <w:color w:val="000000"/>
        </w:rPr>
        <w:t xml:space="preserve"> пункта (интервал перед строкой – 12 пунктов, после строки – 6 пунктов) по ширине</w:t>
      </w:r>
      <w:r>
        <w:rPr>
          <w:color w:val="000000"/>
        </w:rPr>
        <w:t>, без абзацного отступа</w:t>
      </w:r>
      <w:r w:rsidRPr="00066524">
        <w:t>;</w:t>
      </w:r>
    </w:p>
    <w:p w:rsidR="00ED5672" w:rsidRPr="002438BE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 w:rsidRPr="00066524">
        <w:lastRenderedPageBreak/>
        <w:t>ключевые слова</w:t>
      </w:r>
      <w:r w:rsidRPr="00066524">
        <w:rPr>
          <w:color w:val="000000"/>
        </w:rPr>
        <w:t xml:space="preserve"> (не более 5 слов и словосочетаний, соответствующих УДК)</w:t>
      </w:r>
      <w:r w:rsidRPr="00066524">
        <w:t xml:space="preserve"> выполняется </w:t>
      </w:r>
      <w:r w:rsidRPr="00066524">
        <w:rPr>
          <w:color w:val="000000"/>
        </w:rPr>
        <w:t xml:space="preserve">шрифтом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</w:t>
      </w:r>
      <w:r>
        <w:rPr>
          <w:color w:val="000000"/>
        </w:rPr>
        <w:t>0</w:t>
      </w:r>
      <w:r w:rsidRPr="00066524">
        <w:rPr>
          <w:color w:val="000000"/>
        </w:rPr>
        <w:t xml:space="preserve"> пункта (интервал перед строкой – 12 пунктов, после строки – 6 пунктов) полужирного начертания по ширине</w:t>
      </w:r>
      <w:r>
        <w:rPr>
          <w:color w:val="000000"/>
        </w:rPr>
        <w:t>, без абзацного отступа</w:t>
      </w:r>
      <w:r w:rsidRPr="00066524">
        <w:t>;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 w:rsidRPr="00066524">
        <w:t>за ключевыми словами</w:t>
      </w:r>
      <w:r>
        <w:t xml:space="preserve"> (при необходимости)</w:t>
      </w:r>
      <w:r w:rsidRPr="009C5242">
        <w:t xml:space="preserve"> </w:t>
      </w:r>
      <w:r>
        <w:t xml:space="preserve">шрифтом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</w:t>
      </w:r>
      <w:r>
        <w:rPr>
          <w:color w:val="000000"/>
        </w:rPr>
        <w:t>0</w:t>
      </w:r>
      <w:r w:rsidRPr="00066524">
        <w:rPr>
          <w:color w:val="000000"/>
        </w:rPr>
        <w:t xml:space="preserve"> пункта по ширине</w:t>
      </w:r>
      <w:r>
        <w:rPr>
          <w:color w:val="000000"/>
        </w:rPr>
        <w:t>, без абзацного отступа, начиная знаком «*»</w:t>
      </w:r>
      <w:r>
        <w:t xml:space="preserve"> указывается источник финансирования: государственный контракт, грант;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>
        <w:t>после</w:t>
      </w:r>
      <w:r w:rsidRPr="00066524">
        <w:t xml:space="preserve"> ключевы</w:t>
      </w:r>
      <w:r>
        <w:t>х</w:t>
      </w:r>
      <w:r w:rsidRPr="00066524">
        <w:t xml:space="preserve"> слов</w:t>
      </w:r>
      <w:r>
        <w:t xml:space="preserve"> или после источника финансирования</w:t>
      </w:r>
      <w:r w:rsidRPr="00066524">
        <w:t xml:space="preserve"> следует текст доклада, состоящий из разделов: </w:t>
      </w:r>
      <w:r w:rsidRPr="00066524">
        <w:rPr>
          <w:caps/>
        </w:rPr>
        <w:t>«</w:t>
      </w:r>
      <w:r w:rsidRPr="00066524">
        <w:rPr>
          <w:caps/>
          <w:lang w:val="en-US"/>
        </w:rPr>
        <w:t>I</w:t>
      </w:r>
      <w:r w:rsidRPr="00066524">
        <w:rPr>
          <w:caps/>
        </w:rPr>
        <w:t>. Введение», «</w:t>
      </w:r>
      <w:r w:rsidRPr="00066524">
        <w:rPr>
          <w:caps/>
          <w:lang w:val="en-US"/>
        </w:rPr>
        <w:t>II</w:t>
      </w:r>
      <w:r w:rsidRPr="00066524">
        <w:rPr>
          <w:caps/>
        </w:rPr>
        <w:t>. Теория», «</w:t>
      </w:r>
      <w:r w:rsidRPr="00066524">
        <w:rPr>
          <w:caps/>
          <w:lang w:val="en-US"/>
        </w:rPr>
        <w:t>III</w:t>
      </w:r>
      <w:r w:rsidRPr="00066524">
        <w:rPr>
          <w:caps/>
        </w:rPr>
        <w:t>. Результаты», «</w:t>
      </w:r>
      <w:r w:rsidRPr="00066524">
        <w:rPr>
          <w:caps/>
          <w:lang w:val="en-US"/>
        </w:rPr>
        <w:t>IV</w:t>
      </w:r>
      <w:r w:rsidRPr="00066524">
        <w:rPr>
          <w:caps/>
        </w:rPr>
        <w:t>. Обсуждение», «</w:t>
      </w:r>
      <w:r w:rsidRPr="00066524">
        <w:rPr>
          <w:caps/>
          <w:lang w:val="en-US"/>
        </w:rPr>
        <w:t>V</w:t>
      </w:r>
      <w:r w:rsidRPr="00066524">
        <w:rPr>
          <w:caps/>
        </w:rPr>
        <w:t>. Заключение»</w:t>
      </w:r>
      <w:r w:rsidRPr="00066524">
        <w:t>;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 w:rsidRPr="00066524">
        <w:t>после текста доклада, при необходимости, размещается раздел «БЛАГОДАРНОСТИ»</w:t>
      </w:r>
      <w:r>
        <w:t>, включающий информацию о научном руководителе (при наличии), признательность коллегам за помощь, благодарность за финансовую поддержку исследования</w:t>
      </w:r>
      <w:r w:rsidRPr="00066524">
        <w:t>;</w:t>
      </w:r>
    </w:p>
    <w:p w:rsidR="00ED5672" w:rsidRPr="006476EA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 w:rsidRPr="006476EA">
        <w:rPr>
          <w:iCs/>
          <w:spacing w:val="-1"/>
        </w:rPr>
        <w:t xml:space="preserve">заканчивается статья разделом </w:t>
      </w:r>
      <w:r w:rsidRPr="00066524">
        <w:t>«СПИСОК ИСТОЧНИКОВ»</w:t>
      </w:r>
      <w:r>
        <w:t xml:space="preserve"> (не допускается включение в «СПИСОК ИСТОЧНИКОВ» </w:t>
      </w:r>
      <w:r w:rsidRPr="006476EA">
        <w:t>учебник</w:t>
      </w:r>
      <w:r>
        <w:t>ов</w:t>
      </w:r>
      <w:r w:rsidRPr="006476EA">
        <w:t xml:space="preserve"> и учебно-методически</w:t>
      </w:r>
      <w:r>
        <w:t>х</w:t>
      </w:r>
      <w:r w:rsidRPr="006476EA">
        <w:t xml:space="preserve"> пособи</w:t>
      </w:r>
      <w:r>
        <w:t>й</w:t>
      </w:r>
      <w:r w:rsidRPr="006476EA">
        <w:t xml:space="preserve">, </w:t>
      </w:r>
      <w:r>
        <w:t xml:space="preserve">а также </w:t>
      </w:r>
      <w:r w:rsidRPr="006476EA">
        <w:t>автореферат</w:t>
      </w:r>
      <w:r>
        <w:t>ов</w:t>
      </w:r>
      <w:r w:rsidRPr="006476EA">
        <w:t xml:space="preserve"> и диссертаци</w:t>
      </w:r>
      <w:r>
        <w:t>й</w:t>
      </w:r>
      <w:r w:rsidRPr="006476EA">
        <w:t>).</w:t>
      </w:r>
    </w:p>
    <w:p w:rsidR="00ED5672" w:rsidRPr="00066524" w:rsidRDefault="00ED5672" w:rsidP="00ED5672">
      <w:pPr>
        <w:spacing w:before="240" w:after="120" w:line="276" w:lineRule="auto"/>
        <w:jc w:val="center"/>
        <w:rPr>
          <w:caps/>
          <w:color w:val="000000"/>
        </w:rPr>
      </w:pPr>
      <w:r w:rsidRPr="00066524">
        <w:rPr>
          <w:caps/>
          <w:color w:val="000000"/>
        </w:rPr>
        <w:t>Благодарности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>Научный руководитель…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>Автор благодарит…</w:t>
      </w:r>
    </w:p>
    <w:p w:rsidR="00ED5672" w:rsidRPr="00066524" w:rsidRDefault="00ED5672" w:rsidP="00ED5672">
      <w:pPr>
        <w:spacing w:before="240" w:after="120" w:line="276" w:lineRule="auto"/>
        <w:jc w:val="center"/>
        <w:rPr>
          <w:caps/>
          <w:color w:val="000000"/>
        </w:rPr>
      </w:pPr>
      <w:r w:rsidRPr="00066524">
        <w:rPr>
          <w:caps/>
          <w:color w:val="000000"/>
        </w:rPr>
        <w:t>Список ИСТОЧНИКОВ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</w:rPr>
      </w:pPr>
      <w:r w:rsidRPr="00035D13">
        <w:rPr>
          <w:sz w:val="20"/>
          <w:szCs w:val="20"/>
        </w:rPr>
        <w:t>Коршак А.А. Современные средства сокращения потерь бензинов от испарения: монография / А.А. Коршак.</w:t>
      </w:r>
      <w:r w:rsidRPr="00686D3E"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–</w:t>
      </w:r>
      <w:r w:rsidRPr="00686D3E"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Уфа: ООО «</w:t>
      </w:r>
      <w:proofErr w:type="spellStart"/>
      <w:r w:rsidRPr="00035D13">
        <w:rPr>
          <w:sz w:val="20"/>
          <w:szCs w:val="20"/>
        </w:rPr>
        <w:t>ДизайнПолиграфСервис</w:t>
      </w:r>
      <w:proofErr w:type="spellEnd"/>
      <w:r w:rsidRPr="00035D13">
        <w:rPr>
          <w:sz w:val="20"/>
          <w:szCs w:val="20"/>
        </w:rPr>
        <w:t>», 2001.–144 с.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</w:rPr>
      </w:pPr>
      <w:r w:rsidRPr="00035D13">
        <w:rPr>
          <w:sz w:val="20"/>
          <w:szCs w:val="20"/>
        </w:rPr>
        <w:t xml:space="preserve">Переработка и утилизация </w:t>
      </w:r>
      <w:proofErr w:type="spellStart"/>
      <w:r w:rsidRPr="00035D13">
        <w:rPr>
          <w:sz w:val="20"/>
          <w:szCs w:val="20"/>
        </w:rPr>
        <w:t>нефтешламов</w:t>
      </w:r>
      <w:proofErr w:type="spellEnd"/>
      <w:r w:rsidRPr="00035D13">
        <w:rPr>
          <w:sz w:val="20"/>
          <w:szCs w:val="20"/>
        </w:rPr>
        <w:t xml:space="preserve"> и </w:t>
      </w:r>
      <w:proofErr w:type="spellStart"/>
      <w:r w:rsidRPr="00035D13">
        <w:rPr>
          <w:sz w:val="20"/>
          <w:szCs w:val="20"/>
        </w:rPr>
        <w:t>нефтезагрезнённых</w:t>
      </w:r>
      <w:proofErr w:type="spellEnd"/>
      <w:r w:rsidRPr="00035D13">
        <w:rPr>
          <w:sz w:val="20"/>
          <w:szCs w:val="20"/>
        </w:rPr>
        <w:t xml:space="preserve"> материалов, образующихся в местах </w:t>
      </w:r>
      <w:r w:rsidRPr="009C0FDE">
        <w:rPr>
          <w:sz w:val="20"/>
          <w:szCs w:val="20"/>
        </w:rPr>
        <w:t xml:space="preserve">добычи, транспортировки и переработки углеводородного сырья: монография / [Л.О. </w:t>
      </w:r>
      <w:proofErr w:type="spellStart"/>
      <w:r w:rsidRPr="009C0FDE">
        <w:rPr>
          <w:sz w:val="20"/>
          <w:szCs w:val="20"/>
        </w:rPr>
        <w:t>Штриплинг</w:t>
      </w:r>
      <w:proofErr w:type="spellEnd"/>
      <w:r w:rsidRPr="009C0FDE">
        <w:rPr>
          <w:sz w:val="20"/>
          <w:szCs w:val="20"/>
        </w:rPr>
        <w:t xml:space="preserve"> и др.]; </w:t>
      </w:r>
      <w:proofErr w:type="spellStart"/>
      <w:r w:rsidRPr="009C0FDE">
        <w:rPr>
          <w:color w:val="000000"/>
          <w:sz w:val="20"/>
          <w:szCs w:val="20"/>
          <w:shd w:val="clear" w:color="auto" w:fill="FFFFFF"/>
        </w:rPr>
        <w:t>Минобрнауки</w:t>
      </w:r>
      <w:proofErr w:type="spellEnd"/>
      <w:r w:rsidRPr="009C0FDE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C0FDE">
        <w:rPr>
          <w:color w:val="000000"/>
          <w:sz w:val="20"/>
          <w:szCs w:val="20"/>
          <w:shd w:val="clear" w:color="auto" w:fill="FFFFFF"/>
        </w:rPr>
        <w:t>Росссии</w:t>
      </w:r>
      <w:proofErr w:type="spellEnd"/>
      <w:r w:rsidRPr="009C0FDE">
        <w:rPr>
          <w:sz w:val="20"/>
          <w:szCs w:val="20"/>
        </w:rPr>
        <w:t>, Омский</w:t>
      </w:r>
      <w:r w:rsidRPr="00035D13">
        <w:rPr>
          <w:sz w:val="20"/>
          <w:szCs w:val="20"/>
        </w:rPr>
        <w:t xml:space="preserve"> гос.</w:t>
      </w:r>
      <w:r>
        <w:rPr>
          <w:sz w:val="20"/>
          <w:szCs w:val="20"/>
        </w:rPr>
        <w:t xml:space="preserve"> </w:t>
      </w:r>
      <w:proofErr w:type="spellStart"/>
      <w:r w:rsidRPr="00035D13">
        <w:rPr>
          <w:sz w:val="20"/>
          <w:szCs w:val="20"/>
        </w:rPr>
        <w:t>техн</w:t>
      </w:r>
      <w:proofErr w:type="spellEnd"/>
      <w:r w:rsidRPr="00035D13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ун-т.– Новосибирск: Изд-во СО РАН, 2013.–176 с.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</w:rPr>
      </w:pPr>
      <w:r w:rsidRPr="00035D13">
        <w:rPr>
          <w:sz w:val="20"/>
          <w:szCs w:val="20"/>
        </w:rPr>
        <w:t xml:space="preserve">Физические величины: справочник / под ред. И.С. Григорьева, Е.З. </w:t>
      </w:r>
      <w:proofErr w:type="spellStart"/>
      <w:r w:rsidRPr="00035D13">
        <w:rPr>
          <w:sz w:val="20"/>
          <w:szCs w:val="20"/>
        </w:rPr>
        <w:t>Мейлихова</w:t>
      </w:r>
      <w:proofErr w:type="spellEnd"/>
      <w:r w:rsidRPr="00035D13">
        <w:rPr>
          <w:sz w:val="20"/>
          <w:szCs w:val="20"/>
        </w:rPr>
        <w:t xml:space="preserve">. – М.: </w:t>
      </w:r>
      <w:proofErr w:type="spellStart"/>
      <w:r w:rsidRPr="00035D13">
        <w:rPr>
          <w:sz w:val="20"/>
          <w:szCs w:val="20"/>
        </w:rPr>
        <w:t>Энергоатомиздат</w:t>
      </w:r>
      <w:proofErr w:type="spellEnd"/>
      <w:r w:rsidRPr="00035D13">
        <w:rPr>
          <w:sz w:val="20"/>
          <w:szCs w:val="20"/>
        </w:rPr>
        <w:t>, 1991. – 1232 с.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</w:rPr>
      </w:pPr>
      <w:proofErr w:type="spellStart"/>
      <w:r w:rsidRPr="00035D13">
        <w:rPr>
          <w:color w:val="000000"/>
          <w:sz w:val="20"/>
          <w:szCs w:val="20"/>
        </w:rPr>
        <w:t>Шаркова</w:t>
      </w:r>
      <w:proofErr w:type="spellEnd"/>
      <w:r w:rsidRPr="00035D13">
        <w:rPr>
          <w:color w:val="000000"/>
          <w:sz w:val="20"/>
          <w:szCs w:val="20"/>
        </w:rPr>
        <w:t xml:space="preserve">, Т. В. Коррозионно-опасная микрофлора грунтов нефтяных месторождений Западной Сибири / Т. В. </w:t>
      </w:r>
      <w:proofErr w:type="spellStart"/>
      <w:r w:rsidRPr="00035D13">
        <w:rPr>
          <w:color w:val="000000"/>
          <w:sz w:val="20"/>
          <w:szCs w:val="20"/>
        </w:rPr>
        <w:t>Шаркова</w:t>
      </w:r>
      <w:proofErr w:type="spellEnd"/>
      <w:r w:rsidRPr="00035D13">
        <w:rPr>
          <w:color w:val="000000"/>
          <w:sz w:val="20"/>
          <w:szCs w:val="20"/>
        </w:rPr>
        <w:t xml:space="preserve">, Н. В. </w:t>
      </w:r>
      <w:proofErr w:type="spellStart"/>
      <w:r w:rsidRPr="00035D13">
        <w:rPr>
          <w:color w:val="000000"/>
          <w:sz w:val="20"/>
          <w:szCs w:val="20"/>
        </w:rPr>
        <w:t>Кутлунина</w:t>
      </w:r>
      <w:proofErr w:type="spellEnd"/>
      <w:r w:rsidRPr="00035D13">
        <w:rPr>
          <w:color w:val="000000"/>
          <w:sz w:val="20"/>
          <w:szCs w:val="20"/>
        </w:rPr>
        <w:t xml:space="preserve">, Н. П. </w:t>
      </w:r>
      <w:proofErr w:type="spellStart"/>
      <w:r w:rsidRPr="00035D13">
        <w:rPr>
          <w:color w:val="000000"/>
          <w:sz w:val="20"/>
          <w:szCs w:val="20"/>
        </w:rPr>
        <w:t>Мингалев</w:t>
      </w:r>
      <w:proofErr w:type="spellEnd"/>
      <w:r w:rsidRPr="00035D13">
        <w:rPr>
          <w:color w:val="000000"/>
          <w:sz w:val="20"/>
          <w:szCs w:val="20"/>
        </w:rPr>
        <w:t xml:space="preserve">  // Нефтяное хозяйство. –2009. – № 8. – С. 108 – 111.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</w:rPr>
      </w:pPr>
      <w:r w:rsidRPr="00035D13">
        <w:rPr>
          <w:sz w:val="20"/>
          <w:szCs w:val="20"/>
        </w:rPr>
        <w:t xml:space="preserve">Исследование возможности рекультивации или утилизации обезвреженных </w:t>
      </w:r>
      <w:proofErr w:type="spellStart"/>
      <w:r w:rsidRPr="00035D13">
        <w:rPr>
          <w:sz w:val="20"/>
          <w:szCs w:val="20"/>
        </w:rPr>
        <w:t>нефтезагрезнённых</w:t>
      </w:r>
      <w:proofErr w:type="spellEnd"/>
      <w:r w:rsidRPr="00035D13">
        <w:rPr>
          <w:sz w:val="20"/>
          <w:szCs w:val="20"/>
        </w:rPr>
        <w:t xml:space="preserve"> материалов после применения метода </w:t>
      </w:r>
      <w:proofErr w:type="spellStart"/>
      <w:r w:rsidRPr="00035D13">
        <w:rPr>
          <w:sz w:val="20"/>
          <w:szCs w:val="20"/>
        </w:rPr>
        <w:t>реагентного</w:t>
      </w:r>
      <w:proofErr w:type="spellEnd"/>
      <w:r w:rsidRPr="00035D13">
        <w:rPr>
          <w:sz w:val="20"/>
          <w:szCs w:val="20"/>
        </w:rPr>
        <w:t xml:space="preserve"> </w:t>
      </w:r>
      <w:proofErr w:type="spellStart"/>
      <w:r w:rsidRPr="00035D13">
        <w:rPr>
          <w:sz w:val="20"/>
          <w:szCs w:val="20"/>
        </w:rPr>
        <w:t>капсулирования</w:t>
      </w:r>
      <w:proofErr w:type="spellEnd"/>
      <w:r w:rsidRPr="00035D13">
        <w:rPr>
          <w:sz w:val="20"/>
          <w:szCs w:val="20"/>
        </w:rPr>
        <w:t xml:space="preserve"> / Л.О. </w:t>
      </w:r>
      <w:proofErr w:type="spellStart"/>
      <w:r w:rsidRPr="00035D13">
        <w:rPr>
          <w:sz w:val="20"/>
          <w:szCs w:val="20"/>
        </w:rPr>
        <w:t>Штриплинг</w:t>
      </w:r>
      <w:proofErr w:type="spellEnd"/>
      <w:r w:rsidRPr="00035D13">
        <w:rPr>
          <w:sz w:val="20"/>
          <w:szCs w:val="20"/>
        </w:rPr>
        <w:t xml:space="preserve"> [и др.] // Защита окружающей среды в нефтегазовом комплексе.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2014.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12.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44–46.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</w:rPr>
      </w:pPr>
      <w:r w:rsidRPr="00035D13">
        <w:rPr>
          <w:sz w:val="20"/>
          <w:szCs w:val="20"/>
        </w:rPr>
        <w:t>Библиотека обработки изображен</w:t>
      </w:r>
      <w:r>
        <w:rPr>
          <w:sz w:val="20"/>
          <w:szCs w:val="20"/>
        </w:rPr>
        <w:t xml:space="preserve">ий </w:t>
      </w:r>
      <w:proofErr w:type="spellStart"/>
      <w:r>
        <w:rPr>
          <w:sz w:val="20"/>
          <w:szCs w:val="20"/>
        </w:rPr>
        <w:t>OpenCV</w:t>
      </w:r>
      <w:proofErr w:type="spellEnd"/>
      <w:r>
        <w:rPr>
          <w:sz w:val="20"/>
          <w:szCs w:val="20"/>
        </w:rPr>
        <w:t xml:space="preserve"> [Электронный ресурс].</w:t>
      </w:r>
      <w:r w:rsidRPr="00035D13">
        <w:rPr>
          <w:sz w:val="20"/>
          <w:szCs w:val="20"/>
        </w:rPr>
        <w:t>–</w:t>
      </w:r>
      <w:r w:rsidRPr="006476EA">
        <w:rPr>
          <w:sz w:val="20"/>
          <w:szCs w:val="20"/>
          <w:lang w:val="en-US"/>
        </w:rPr>
        <w:t>URL</w:t>
      </w:r>
      <w:r w:rsidRPr="006476EA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http://opencv.org (01.08.2014).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</w:rPr>
      </w:pPr>
      <w:proofErr w:type="spellStart"/>
      <w:r w:rsidRPr="00035D13">
        <w:rPr>
          <w:sz w:val="20"/>
          <w:szCs w:val="20"/>
          <w:lang w:val="en-US"/>
        </w:rPr>
        <w:t>Khludnev</w:t>
      </w:r>
      <w:proofErr w:type="spellEnd"/>
      <w:r w:rsidRPr="00035D13">
        <w:rPr>
          <w:sz w:val="20"/>
          <w:szCs w:val="20"/>
          <w:lang w:val="en-US"/>
        </w:rPr>
        <w:t xml:space="preserve"> A. M. Analysis of cracks in solids / A.M. </w:t>
      </w:r>
      <w:proofErr w:type="spellStart"/>
      <w:r w:rsidRPr="00035D13">
        <w:rPr>
          <w:sz w:val="20"/>
          <w:szCs w:val="20"/>
          <w:lang w:val="en-US"/>
        </w:rPr>
        <w:t>Khludnev</w:t>
      </w:r>
      <w:proofErr w:type="spellEnd"/>
      <w:r w:rsidRPr="00035D13">
        <w:rPr>
          <w:sz w:val="20"/>
          <w:szCs w:val="20"/>
          <w:lang w:val="en-US"/>
        </w:rPr>
        <w:t xml:space="preserve">, V.A. </w:t>
      </w:r>
      <w:proofErr w:type="spellStart"/>
      <w:r w:rsidRPr="00035D13">
        <w:rPr>
          <w:sz w:val="20"/>
          <w:szCs w:val="20"/>
          <w:lang w:val="en-US"/>
        </w:rPr>
        <w:t>Kovtunenko</w:t>
      </w:r>
      <w:proofErr w:type="spellEnd"/>
      <w:r w:rsidRPr="00035D13">
        <w:rPr>
          <w:sz w:val="20"/>
          <w:szCs w:val="20"/>
          <w:lang w:val="en-US"/>
        </w:rPr>
        <w:t>. Southampton. Boston: WIT Press, 2000.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 xml:space="preserve">120 </w:t>
      </w:r>
      <w:r w:rsidRPr="00035D13">
        <w:rPr>
          <w:sz w:val="20"/>
          <w:szCs w:val="20"/>
          <w:lang w:val="en-US"/>
        </w:rPr>
        <w:t>p</w:t>
      </w:r>
      <w:r w:rsidRPr="00035D13">
        <w:rPr>
          <w:sz w:val="20"/>
          <w:szCs w:val="20"/>
        </w:rPr>
        <w:t>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  <w:lang w:val="en-US"/>
        </w:rPr>
      </w:pPr>
      <w:r w:rsidRPr="00035D13">
        <w:rPr>
          <w:sz w:val="20"/>
          <w:szCs w:val="20"/>
          <w:lang w:val="en-US"/>
        </w:rPr>
        <w:t xml:space="preserve">Gadd, G.M. Metals, minerals and microbes: </w:t>
      </w:r>
      <w:proofErr w:type="spellStart"/>
      <w:r w:rsidRPr="00035D13">
        <w:rPr>
          <w:sz w:val="20"/>
          <w:szCs w:val="20"/>
          <w:lang w:val="en-US"/>
        </w:rPr>
        <w:t>Geomicrobiology</w:t>
      </w:r>
      <w:proofErr w:type="spellEnd"/>
      <w:r w:rsidRPr="00035D13">
        <w:rPr>
          <w:sz w:val="20"/>
          <w:szCs w:val="20"/>
          <w:lang w:val="en-US"/>
        </w:rPr>
        <w:t xml:space="preserve"> and bioremediation / G.M. Gadd // Microbiology. – 2010. – № 156 (3). – pp. 609-643.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  <w:lang w:val="en-US"/>
        </w:rPr>
      </w:pPr>
      <w:r w:rsidRPr="00035D13">
        <w:rPr>
          <w:sz w:val="20"/>
          <w:szCs w:val="20"/>
          <w:lang w:val="en-US"/>
        </w:rPr>
        <w:t>ITNT Conference Web Site [Electronic resource]. — Access mode: http://itnt-conf.org (01.12.2016).</w:t>
      </w:r>
    </w:p>
    <w:p w:rsidR="00A047C7" w:rsidRPr="00ED5672" w:rsidRDefault="00A047C7">
      <w:pPr>
        <w:rPr>
          <w:lang w:val="en-US"/>
        </w:rPr>
      </w:pPr>
    </w:p>
    <w:sectPr w:rsidR="00A047C7" w:rsidRPr="00ED5672" w:rsidSect="00992D8B">
      <w:headerReference w:type="default" r:id="rId11"/>
      <w:footerReference w:type="default" r:id="rId12"/>
      <w:pgSz w:w="11906" w:h="16838" w:code="9"/>
      <w:pgMar w:top="1021" w:right="1247" w:bottom="1247" w:left="1021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ED5" w:rsidRDefault="00263ED5" w:rsidP="00E13037">
      <w:r>
        <w:separator/>
      </w:r>
    </w:p>
  </w:endnote>
  <w:endnote w:type="continuationSeparator" w:id="0">
    <w:p w:rsidR="00263ED5" w:rsidRDefault="00263ED5" w:rsidP="00E1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52E" w:rsidRDefault="00263ED5">
    <w:pPr>
      <w:pStyle w:val="a6"/>
      <w:jc w:val="right"/>
    </w:pPr>
  </w:p>
  <w:p w:rsidR="000D552E" w:rsidRDefault="00263E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ED5" w:rsidRDefault="00263ED5" w:rsidP="00E13037">
      <w:r>
        <w:separator/>
      </w:r>
    </w:p>
  </w:footnote>
  <w:footnote w:type="continuationSeparator" w:id="0">
    <w:p w:rsidR="00263ED5" w:rsidRDefault="00263ED5" w:rsidP="00E13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8D8" w:rsidRDefault="00FA68D8" w:rsidP="00FA68D8">
    <w:pPr>
      <w:pStyle w:val="a4"/>
      <w:pBdr>
        <w:bottom w:val="single" w:sz="12" w:space="1" w:color="auto"/>
      </w:pBdr>
    </w:pPr>
    <w:r>
      <w:rPr>
        <w:noProof/>
      </w:rPr>
      <w:drawing>
        <wp:inline distT="0" distB="0" distL="0" distR="0" wp14:anchorId="14E44A61" wp14:editId="15061E91">
          <wp:extent cx="1395871" cy="504000"/>
          <wp:effectExtent l="0" t="0" r="0" b="0"/>
          <wp:docPr id="3" name="Рисунок 3" descr="https://www.omgtu.ru/general_information/files/logo%20OmGTU%20wb%20g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omgtu.ru/general_information/files/logo%20OmGTU%20wb%20g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871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noProof/>
        <w:sz w:val="12"/>
        <w:szCs w:val="12"/>
      </w:rPr>
      <w:drawing>
        <wp:inline distT="0" distB="0" distL="0" distR="0" wp14:anchorId="26CF646A" wp14:editId="7D4BF1C6">
          <wp:extent cx="2625443" cy="540000"/>
          <wp:effectExtent l="0" t="0" r="381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Логотип_ТХУ_без слов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09"/>
                  <a:stretch/>
                </pic:blipFill>
                <pic:spPr bwMode="auto">
                  <a:xfrm>
                    <a:off x="0" y="0"/>
                    <a:ext cx="2625443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 wp14:anchorId="65872CC4" wp14:editId="0DCD545E">
          <wp:extent cx="1431627" cy="540000"/>
          <wp:effectExtent l="0" t="0" r="0" b="0"/>
          <wp:docPr id="4" name="Рисунок 4" descr="новый-лого-2018-в-кривы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новый-лого-2018-в-кривых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627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526"/>
    <w:multiLevelType w:val="hybridMultilevel"/>
    <w:tmpl w:val="44DE688C"/>
    <w:lvl w:ilvl="0" w:tplc="EC0A04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9A3E91"/>
    <w:multiLevelType w:val="hybridMultilevel"/>
    <w:tmpl w:val="DC820CA2"/>
    <w:lvl w:ilvl="0" w:tplc="103E909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D743D"/>
    <w:multiLevelType w:val="hybridMultilevel"/>
    <w:tmpl w:val="D0167AC8"/>
    <w:lvl w:ilvl="0" w:tplc="F54039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72"/>
    <w:rsid w:val="0004079C"/>
    <w:rsid w:val="00132E85"/>
    <w:rsid w:val="00263ED5"/>
    <w:rsid w:val="0032454F"/>
    <w:rsid w:val="003250FD"/>
    <w:rsid w:val="00546829"/>
    <w:rsid w:val="00864CFC"/>
    <w:rsid w:val="008D4E96"/>
    <w:rsid w:val="009808B4"/>
    <w:rsid w:val="00992D8B"/>
    <w:rsid w:val="00A047C7"/>
    <w:rsid w:val="00AD6FF1"/>
    <w:rsid w:val="00D21D42"/>
    <w:rsid w:val="00E13037"/>
    <w:rsid w:val="00ED5672"/>
    <w:rsid w:val="00FA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56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67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ED56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ED56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5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56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5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56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67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ED56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ED56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5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56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5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7;&#1072;&#1075;&#1088;&#1091;&#1079;&#1082;&#1080;\&#1052;&#1080;&#1095;&#1080;&#1075;&#1072;&#1085;_&#1055;&#1058;&#1055;_2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85074423486236"/>
          <c:y val="7.467630136173746E-2"/>
          <c:w val="0.78941385204920722"/>
          <c:h val="0.64116707748018542"/>
        </c:manualLayout>
      </c:layout>
      <c:scatterChart>
        <c:scatterStyle val="smoothMarker"/>
        <c:varyColors val="0"/>
        <c:ser>
          <c:idx val="1"/>
          <c:order val="0"/>
          <c:marker>
            <c:symbol val="none"/>
          </c:marker>
          <c:xVal>
            <c:numRef>
              <c:f>[Мичиган_ПТП_2.xlsx]Лист1!$A$2:$A$9</c:f>
              <c:numCache>
                <c:formatCode>General</c:formatCode>
                <c:ptCount val="8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40</c:v>
                </c:pt>
              </c:numCache>
            </c:numRef>
          </c:xVal>
          <c:yVal>
            <c:numRef>
              <c:f>[Мичиган_ПТП_2.xlsx]Лист1!$G$2:$G$9</c:f>
              <c:numCache>
                <c:formatCode>General</c:formatCode>
                <c:ptCount val="8"/>
                <c:pt idx="0">
                  <c:v>0</c:v>
                </c:pt>
                <c:pt idx="1">
                  <c:v>0.33087133468157159</c:v>
                </c:pt>
                <c:pt idx="2">
                  <c:v>0.43785660446523511</c:v>
                </c:pt>
                <c:pt idx="3">
                  <c:v>0.48761027271954205</c:v>
                </c:pt>
                <c:pt idx="4">
                  <c:v>0.51947052948330086</c:v>
                </c:pt>
                <c:pt idx="5">
                  <c:v>0.53070917484092162</c:v>
                </c:pt>
                <c:pt idx="6">
                  <c:v>0.53070917484092162</c:v>
                </c:pt>
                <c:pt idx="7">
                  <c:v>0.53070917484092162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B08B-4A63-84B9-B78625A264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51015296"/>
        <c:axId val="351017216"/>
      </c:scatterChart>
      <c:valAx>
        <c:axId val="351015296"/>
        <c:scaling>
          <c:orientation val="minMax"/>
          <c:max val="40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 i="1">
                    <a:latin typeface="Times New Roman"/>
                    <a:cs typeface="Times New Roman"/>
                  </a:rPr>
                  <a:t>θ</a:t>
                </a:r>
                <a:r>
                  <a:rPr lang="ru-RU" baseline="0"/>
                  <a:t>, г/т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50822522995863328"/>
              <c:y val="0.8977124832150774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51017216"/>
        <c:crosses val="autoZero"/>
        <c:crossBetween val="midCat"/>
      </c:valAx>
      <c:valAx>
        <c:axId val="35101721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ψ</a:t>
                </a:r>
                <a:r>
                  <a:rPr lang="ru-RU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(</a:t>
                </a:r>
                <a:r>
                  <a:rPr lang="el-GR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θ</a:t>
                </a:r>
                <a:r>
                  <a:rPr lang="ru-RU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)</a:t>
                </a:r>
                <a:r>
                  <a:rPr lang="ru-RU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, доли 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51015296"/>
        <c:crosses val="autoZero"/>
        <c:crossBetween val="midCat"/>
      </c:valAx>
    </c:plotArea>
    <c:plotVisOnly val="1"/>
    <c:dispBlanksAs val="gap"/>
    <c:showDLblsOverMax val="0"/>
  </c:chart>
  <c:spPr>
    <a:solidFill>
      <a:schemeClr val="bg1"/>
    </a:solidFill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2020-03-18T04:04:00Z</dcterms:created>
  <dcterms:modified xsi:type="dcterms:W3CDTF">2020-03-18T04:04:00Z</dcterms:modified>
</cp:coreProperties>
</file>