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20" w:rsidRDefault="00835D20" w:rsidP="00835D20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Лямец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 xml:space="preserve"> Артём Михайлович</w:t>
      </w:r>
    </w:p>
    <w:p w:rsidR="00835D20" w:rsidRDefault="00835D20" w:rsidP="00835D20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младший научный сотрудник Отдела библиотечных собраний и исторических коллекций Национальной библиотеки Украины имени В. И. Вернадского</w:t>
      </w:r>
    </w:p>
    <w:p w:rsidR="00835D20" w:rsidRPr="00EC43A7" w:rsidRDefault="00835D20" w:rsidP="00835D20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EC43A7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Теория и практика исследования комплектования фондов библиотек Ближнего Востока</w:t>
      </w:r>
    </w:p>
    <w:p w:rsidR="00835D20" w:rsidRDefault="00835D20" w:rsidP="00835D20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835D2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 процессе изучения комплектования фондов арабских библиотек</w:t>
      </w:r>
      <w:r w:rsidR="009D219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</w:t>
      </w:r>
      <w:r w:rsidRPr="00835D20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 первую очередь</w:t>
      </w:r>
      <w:r w:rsidR="009D219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</w:t>
      </w:r>
      <w:r w:rsidRPr="00835D20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обращаем внимание на исторические методы исследования. А именно, на реконструкцию прошлых событий. В данном аспекте нас интересует комплектование фо</w:t>
      </w:r>
      <w:r w:rsidR="009D219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ндов библиотек раннего ислама, э</w:t>
      </w:r>
      <w:r w:rsidRPr="00835D2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пох Омеядов и Абасидов. В этот пери</w:t>
      </w:r>
      <w:r w:rsidR="009D219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од времени комплектование</w:t>
      </w:r>
      <w:r w:rsidRPr="00835D20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основывалось на сложных внешнебиблиотечных и внутреннебиблиотечных системах. Среди внешнебиблиотечных систем выделяем: формирование исламских обычаев дарения («садака» и «закят»); привлечение (субконтрактинг) наёмных торговцев; политические программы халифов и имамов; влияние на отбор материалов экзотерических, эзотерических, рационалистических и мистических ответвлений ислама; остаточные явлени</w:t>
      </w:r>
      <w:r w:rsidR="009D219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я протоаутсорсинга </w:t>
      </w:r>
      <w:r w:rsidRPr="00835D20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процессы комплектования выполнялись за пределами библиотек) и др. Среди внутреннебиблиотечных систем следует выделить:: формирование штата копиистов и переводчиков; комплектование фондов работами учёных и переводчиков, которые работали в библиотеке; покупка фондов других библиотек или слияние библиотечных учреждений; организация трактования богословских призведений внутри библиотеки и др. Подсистема отбора литературы основывалась на нормах шариата, хакиката, теологических и философских корпусах ислама. Все элементы подсистемы формирования фондов ар</w:t>
      </w:r>
      <w:r w:rsidR="009D219E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абских библиотек находились под</w:t>
      </w:r>
      <w:r w:rsidRPr="00835D20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влиянием профетологических установок книжного ислама и исламской библиотечной философии (значительное влияние Корана, Сунны, теологических и философских корпусов имама Али).</w:t>
      </w:r>
    </w:p>
    <w:p w:rsidR="009D219E" w:rsidRPr="00835D20" w:rsidRDefault="009D219E" w:rsidP="009D219E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Для анализа и суммирования накопленных знаний про комплектование и формирования фондов арабських библиотек применяется историографический метод. Применяя историографические подходы, мы </w:t>
      </w: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lastRenderedPageBreak/>
        <w:t xml:space="preserve">приближаемся к решению вопросов об эволюции подсистем формирования фондов библиотек ближневосточного региона. В частности,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условной датой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54B0B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появления научных монографий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про комплектование научных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и публичных библиотек 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на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Ближнем Востоке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54B0B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мы считаем период после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Второй мировой войны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. 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Эти исследования также тесно связаны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с появлением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в арабских странах национа</w:t>
      </w:r>
      <w:r w:rsidR="00254B0B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льных библиотек и упорядочиванием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информационной инфраструктуры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. </w:t>
      </w:r>
    </w:p>
    <w:p w:rsidR="009D219E" w:rsidRDefault="009D219E" w:rsidP="009D219E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         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Комплектование фондов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библиотек Ближнего Востока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изучалось многими арабскими исследователями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Среди них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: 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М. Салямат [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2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]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Г. Ан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-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Наваясат [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3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]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И. Ами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 [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], М. Насар [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5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]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М. Ати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 [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6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]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Х.Абабадат [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7</w:t>
      </w:r>
      <w:r w:rsidR="00254B0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], А. Ан-Нджадави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[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8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], М.Бактут [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9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]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Н. Мутаваля [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10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],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 Ш. Хали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фа [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11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]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 др. Изучение работ этих учёных помогает понять теоретические основы </w:t>
      </w:r>
      <w:r w:rsidR="00254B0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формирования, развития и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комплектования фондов библиотек ближневосточного региона.</w:t>
      </w:r>
    </w:p>
    <w:p w:rsidR="00835D20" w:rsidRPr="00835D20" w:rsidRDefault="00835D20" w:rsidP="00254B0B">
      <w:pPr>
        <w:spacing w:before="240"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835D2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Важным теоретическим методом исследования формирования фондов арабских библиотек современного периода является моделирование. Такие арабские учёные как М. Альян и Ю. Абду ль-Маати применяют моделирование и предлагают поэтапные циклические системы для анализа формирования фондов (работа по изучению контингента читателей →  план формирования и развития фонда (сийасат) → процесс отбора → комплектование библиотечных фондов → сохранение фондов, инвентаризация, рекомплектование → постоянная (качественная) оценка фондов → повторение цикла).</w:t>
      </w:r>
    </w:p>
    <w:p w:rsidR="00835D20" w:rsidRPr="00835D20" w:rsidRDefault="00835D20" w:rsidP="00835D20">
      <w:pPr>
        <w:spacing w:before="240"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835D2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Применяются также библиотековедческие и юридические методы исследования. Например, анализируются законы об обязательном экземпляре документов в странах Ближнего Востока. На примере четырёх стран − Египта, Сирии, Алжира и Туниса, в которых законы об обязательном экземпляре достаточно развиты и усовершенс</w:t>
      </w:r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твованы, мы определяем ряд важны</w:t>
      </w:r>
      <w:r w:rsidRPr="00835D20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х особенностей </w:t>
      </w:r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функционирования подсистемы ОЭ. Среди них:</w:t>
      </w:r>
      <w:r w:rsidRPr="00835D20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не </w:t>
      </w:r>
      <w:r w:rsidRPr="00835D20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указывается точное количество экземпляров для депонирования (</w:t>
      </w:r>
      <w:r w:rsidRPr="00835D20">
        <w:rPr>
          <w:rFonts w:ascii="Times New Roman" w:hAnsi="Times New Roman" w:cs="Times New Roman"/>
          <w:sz w:val="28"/>
          <w:szCs w:val="28"/>
          <w:lang w:val="uk-UA"/>
        </w:rPr>
        <w:t xml:space="preserve">в Законе Египта № 354  – от 5 до 10 экземпляров (М. Хайсам указывает цифру − 20 экз.), в Законе  Египта № 82  – от 1 до 10), указывается лишь минимум или максимум; </w:t>
      </w:r>
      <w:r w:rsidRPr="00835D20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 некоторых странах ближневосточного региона вместо названия «закон об обязательном экземпляре» используются другие формулировки (например, Закон о защите прав нителлектуальной собственности в Египте); законы имеют несколько названий или же действует одновременно несколько законов (в Сирии одновременно действует </w:t>
      </w:r>
      <w:r w:rsidRPr="00835D20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Закон о печати № 53 от 1</w:t>
      </w:r>
      <w:r w:rsidR="000106BC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949 р.  и Закон № 17 от 26 июля 1983 г</w:t>
      </w:r>
      <w:r w:rsidRPr="00835D20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. «Про организацию национальной библиотеки Аль-А</w:t>
      </w:r>
      <w:r w:rsidR="000106BC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сада», кроме того Закон № 17 от 26 июля 1983 г</w:t>
      </w:r>
      <w:r w:rsidRPr="00835D20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. имеет другое название − </w:t>
      </w:r>
      <w:r w:rsidRPr="00835D20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Статья № 17 Законодательного Декрета 1983 г. и Коммюнике Президии Совета Министров № 7/б/480/15 от 18.01.1984 г.</w:t>
      </w:r>
    </w:p>
    <w:p w:rsidR="00835D20" w:rsidRPr="00D618C3" w:rsidRDefault="00835D20" w:rsidP="00B60EB1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Кроме анализа юридической документации, в частности, законов об обязательном экземпляре изданий, научный интерес представляет рассмотрение профилей комплектования (тазвида), а также развития фондов. 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библиотеках стран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Ближнего Востока существует несколько видов таких профилей, в основном, они имеют такие названия: «Сийа:сату бина: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’и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ль-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маджму: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’а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:т»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или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Профиль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ф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ормирования фондов»,</w:t>
      </w:r>
      <w:r w:rsidRPr="00E835D9">
        <w:rPr>
          <w:rFonts w:ascii="Times New Roman" w:eastAsia="SimSun" w:hAnsi="Times New Roman" w:cs="Times New Roman"/>
          <w:sz w:val="36"/>
          <w:szCs w:val="36"/>
          <w:lang w:val="uk-UA" w:eastAsia="ru-RU"/>
        </w:rPr>
        <w:t xml:space="preserve"> «</w:t>
      </w:r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ина: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’у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танми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ййату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ль-му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ќтанайат</w:t>
      </w:r>
      <w:proofErr w:type="spellEnd"/>
      <w:r w:rsidRPr="00E835D9">
        <w:rPr>
          <w:rFonts w:ascii="Times New Roman" w:eastAsia="SimSun" w:hAnsi="Times New Roman" w:cs="Times New Roman"/>
          <w:sz w:val="24"/>
          <w:szCs w:val="24"/>
          <w:lang w:val="uk-UA" w:eastAsia="ru-RU" w:bidi="ar-EG"/>
        </w:rPr>
        <w:t>»</w:t>
      </w:r>
      <w:r>
        <w:rPr>
          <w:rFonts w:ascii="Times New Roman" w:eastAsia="SimSun" w:hAnsi="Times New Roman" w:cs="Times New Roman"/>
          <w:sz w:val="36"/>
          <w:szCs w:val="36"/>
          <w:lang w:val="uk-UA" w:eastAsia="ru-RU"/>
        </w:rPr>
        <w:t xml:space="preserve"> </w:t>
      </w:r>
      <w:r w:rsidRPr="00835D2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Ф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орм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ирование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звит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ие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фонд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ов), </w:t>
      </w:r>
      <w:r w:rsidRPr="00E835D9">
        <w:rPr>
          <w:rFonts w:ascii="Times New Roman" w:eastAsia="SimSun" w:hAnsi="Times New Roman" w:cs="Times New Roman"/>
          <w:sz w:val="36"/>
          <w:szCs w:val="36"/>
          <w:lang w:val="uk-UA" w:eastAsia="ru-RU"/>
        </w:rPr>
        <w:t xml:space="preserve"> «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на: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’у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ва 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танм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ййату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ль-маджму: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’ат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ль-мактабиййат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» 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Ф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орм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ирование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библиотечных фондов). Профили тазвида библиотек стран Ближнего Восток</w:t>
      </w:r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 являются частью общего профиля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библиотеки, который </w:t>
      </w:r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как документ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стал формироваться во времена  «ананджа» (арабское возрождение конца ХІХ ст.). Основами документа стали научные, библиотечные и книговедческие взгляды, связанные с формированием и комплектованием фондов. С появлением национальных библиотек, которые выполняли функции центров национальной документации и библиотечного дела, </w:t>
      </w:r>
      <w:proofErr w:type="spellStart"/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усовершенствуется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одна из главнейших подсистем тазвида  –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иктина’ун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» (процессы или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действия</w:t>
      </w:r>
      <w:proofErr w:type="spellEnd"/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касающиеся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приобретения литературы). Профиль тазвида</w:t>
      </w:r>
      <w:r>
        <w:rPr>
          <w:rStyle w:val="a3"/>
          <w:rFonts w:ascii="Times New Roman" w:eastAsia="SimSun" w:hAnsi="Times New Roman"/>
          <w:sz w:val="28"/>
          <w:szCs w:val="28"/>
          <w:lang w:val="uk-UA" w:eastAsia="ru-RU"/>
        </w:rPr>
        <w:footnoteReference w:id="2"/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является теоретическим документом, и, исторически, претерпел влияние не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толь</w:t>
      </w:r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</w:t>
      </w:r>
      <w:proofErr w:type="spellEnd"/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арабских библиотечных традиций, </w:t>
      </w:r>
      <w:proofErr w:type="spellStart"/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но</w:t>
      </w:r>
      <w:proofErr w:type="spellEnd"/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 изменений </w:t>
      </w:r>
      <w:proofErr w:type="spellStart"/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э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похи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«европеизации». Исламские библиотеки под влиянием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светской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перестройки» усовершенствовались, появилась потребность 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системном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понимании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процессов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 источников комплектования фондов. Важной особенностью является то, что на Ближнем Востоке 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профили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тазвида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включены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не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только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теоретические основы 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принципы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комплектования (отбор, покупка, рекомплектование),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 вопросы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сохранения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инвентаризации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фондов</w:t>
      </w:r>
      <w:r>
        <w:rPr>
          <w:rFonts w:cs="Times New Roman"/>
          <w:sz w:val="28"/>
          <w:szCs w:val="28"/>
          <w:rtl/>
          <w:lang w:val="uk-UA" w:eastAsia="ru-RU"/>
        </w:rPr>
        <w:t xml:space="preserve"> </w:t>
      </w:r>
      <w:r w:rsidRPr="00D618C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[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1</w:t>
      </w:r>
      <w:r w:rsidRPr="00D618C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c</w:t>
      </w:r>
      <w:r w:rsidRPr="00D618C3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 67]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Разработка документа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требовала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ряда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технологических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шагов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: 1. тахлиль  – анализ и исследование профилей в других библиотеках одного типа; 2. истишарат  – консультации со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специалистами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этих библиотек, которые принимали участие 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разработке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профилей тазвида; 3. анализ характеристик читательской аудитории; 4. назначение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ответственных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разработку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профиля; 5. Определение структурных элементов профиля, его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компиляция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осмотр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проверка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; 6.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утве</w:t>
      </w:r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рждение</w:t>
      </w:r>
      <w:proofErr w:type="spellEnd"/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финальной</w:t>
      </w:r>
      <w:proofErr w:type="spellEnd"/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106B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версии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</w:p>
    <w:p w:rsidR="00835D20" w:rsidRDefault="00835D20" w:rsidP="00B60EB1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Кроме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общей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информации о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профилях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тазвида важно также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понимать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их структуру. Профили 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политики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)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комплектув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ания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фондо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библиотек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Ближнего Востока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как правило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делятся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на ч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етыре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основн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ые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части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Первая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называется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«Аль-Му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к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аддамату» 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и представляет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собой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вступление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к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доку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менту. Вторая часть  – «Аль-Мук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танайя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ту» или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фонды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»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определяет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особенности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фондо</w:t>
      </w:r>
      <w:r w:rsidR="00B60EB1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в 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перспективы их усовершенствования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Третья часть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 – «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Аль-І</w:t>
      </w:r>
      <w:r w:rsidRPr="00E835D9">
        <w:rPr>
          <w:rFonts w:ascii="Arial Unicode MS" w:hAnsi="Times New Roman" w:cs="Times New Roman"/>
          <w:sz w:val="28"/>
          <w:szCs w:val="28"/>
          <w:lang w:val="uk-UA" w:eastAsia="ru-RU"/>
        </w:rPr>
        <w:t>х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ти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яр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» </w:t>
      </w:r>
      <w:r w:rsidR="00B60EB1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посвячена </w:t>
      </w:r>
      <w:proofErr w:type="spellStart"/>
      <w:r w:rsidR="00B60EB1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критери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ям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отбора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, стандартам,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определениям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комплектования тех или иных материалов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четвёртая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часть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 – «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Анва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:’</w:t>
      </w:r>
      <w:r>
        <w:rPr>
          <w:rFonts w:ascii="Times New Roman" w:eastAsia="SimSun" w:hAnsi="Times New Roman" w:cs="Times New Roman"/>
          <w:sz w:val="28"/>
          <w:szCs w:val="28"/>
          <w:lang w:val="ru-RU" w:eastAsia="ru-RU" w:bidi="ar-EG"/>
        </w:rPr>
        <w:t xml:space="preserve">у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ru-RU" w:bidi="ar-EG"/>
        </w:rPr>
        <w:t>ль-Мава:ди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» 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предназначена для описания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всех видов изданий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и материалов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, </w:t>
      </w:r>
      <w:r w:rsidR="00B60EB1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которыми может </w:t>
      </w:r>
      <w:proofErr w:type="spellStart"/>
      <w:r w:rsidR="00B60EB1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комплектоваться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 w:rsidR="00B60EB1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научная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</w:t>
      </w:r>
      <w:r w:rsidR="00B60EB1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или </w:t>
      </w:r>
      <w:proofErr w:type="spellStart"/>
      <w:r w:rsidR="00B60EB1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публичная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</w:t>
      </w:r>
      <w:r w:rsidR="00B60EB1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библиотека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. </w:t>
      </w:r>
    </w:p>
    <w:p w:rsidR="00835D20" w:rsidRDefault="00835D20" w:rsidP="00835D20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В зависимости от обстоятельств и задач библиотек</w:t>
      </w:r>
      <w:r w:rsidR="00B60EB1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,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для уточнения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ряда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параметров</w:t>
      </w:r>
      <w:proofErr w:type="spellEnd"/>
      <w:r w:rsidR="00B60EB1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,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к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профилю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тазвида прибавляються другие части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А именно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, в 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lastRenderedPageBreak/>
        <w:t xml:space="preserve">документ </w:t>
      </w:r>
      <w:r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прибавляется раздел</w:t>
      </w:r>
      <w:r w:rsidR="00B60EB1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 xml:space="preserve"> «Аль-мава:занату </w:t>
      </w:r>
      <w:proofErr w:type="spellStart"/>
      <w:r w:rsidR="00B60EB1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ль-м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  <w:t>у</w:t>
      </w:r>
      <w:r w:rsidRPr="00E835D9">
        <w:rPr>
          <w:rFonts w:ascii="Arial Unicode MS" w:hAnsi="Times New Roman" w:cs="Times New Roman"/>
          <w:sz w:val="28"/>
          <w:szCs w:val="28"/>
          <w:lang w:val="uk-UA" w:eastAsia="ru-RU"/>
        </w:rPr>
        <w:t>х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асс</w:t>
      </w:r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ат</w:t>
      </w:r>
      <w:proofErr w:type="spellEnd"/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»  – бюдже</w:t>
      </w: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т </w:t>
      </w:r>
      <w:r w:rsidRPr="004734F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бюджет, выделенный</w:t>
      </w:r>
      <w:r w:rsidRPr="004734F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фондов</w:t>
      </w:r>
      <w:r w:rsidRPr="004734F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),</w:t>
      </w: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«Си</w:t>
      </w:r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йа:сату </w:t>
      </w:r>
      <w:proofErr w:type="spellStart"/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ль-</w:t>
      </w: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’И</w:t>
      </w:r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гда</w:t>
      </w:r>
      <w:proofErr w:type="spellEnd"/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:</w:t>
      </w:r>
      <w:proofErr w:type="spellStart"/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’</w:t>
      </w: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и</w:t>
      </w:r>
      <w:proofErr w:type="spellEnd"/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»  – порядок </w:t>
      </w: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(профиль) принятия даров, «Сийа:сату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ль-Исти</w:t>
      </w:r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б’ад</w:t>
      </w:r>
      <w:proofErr w:type="spellEnd"/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» – порядок</w:t>
      </w:r>
      <w:r w:rsidRPr="004734F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(</w:t>
      </w:r>
      <w:r w:rsidRPr="004734F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про</w:t>
      </w: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филь</w:t>
      </w:r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) </w:t>
      </w: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рекомплектования</w:t>
      </w:r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и «Мара: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джа’ату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с-Си</w:t>
      </w:r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йа</w:t>
      </w:r>
      <w:proofErr w:type="spellEnd"/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:</w:t>
      </w:r>
      <w:proofErr w:type="spellStart"/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сат</w:t>
      </w:r>
      <w:proofErr w:type="spellEnd"/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»  –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общий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осмотр</w:t>
      </w:r>
      <w:proofErr w:type="spellEnd"/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(может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употребляться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также в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значении</w:t>
      </w:r>
      <w:proofErr w:type="spellEnd"/>
      <w:r w:rsidRPr="006047BC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«</w:t>
      </w:r>
      <w:proofErr w:type="spellStart"/>
      <w:r w:rsidRPr="006047BC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ывод</w:t>
      </w:r>
      <w:proofErr w:type="spellEnd"/>
      <w:r w:rsidRPr="006047BC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»</w:t>
      </w: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или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общий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анализ</w:t>
      </w:r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профиля</w:t>
      </w:r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комплектования фондов</w:t>
      </w:r>
      <w:r w:rsidRPr="00E835D9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).</w:t>
      </w:r>
    </w:p>
    <w:p w:rsidR="00A314C7" w:rsidRDefault="00A314C7" w:rsidP="00A314C7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Кроме исторических, историографических, правовых и терминологических исследований актуальным является анализ одной из важнейших подсистем комплектования фондов – покупки и подписки. </w:t>
      </w:r>
    </w:p>
    <w:p w:rsidR="00A314C7" w:rsidRPr="00E835D9" w:rsidRDefault="00A314C7" w:rsidP="00DD1D6C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Подсистема покупки и подписки изданий детально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изучена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 библиотеках Ближнего Востока. Сам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терми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н «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шира’ун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» (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покупка, подписка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)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происходит от глагола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«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шара’а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»,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который имеет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значение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«покупать».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Производные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глагола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довольно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употребительны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,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например, «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шари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н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»  –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покупатель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, «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шарва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»  –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продажа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мелкая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торговля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, «муштари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н»  –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покупатель</w:t>
      </w:r>
      <w:proofErr w:type="spellEnd"/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, «</w:t>
      </w:r>
      <w:proofErr w:type="spellStart"/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муштаран</w:t>
      </w:r>
      <w:proofErr w:type="spellEnd"/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» или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«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муштарайат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»  –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покупка, закупка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. Однак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о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,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более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употребительным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терм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ином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в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арабском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библиотековедении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является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«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шира’ун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»,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которые тесно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связан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с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терми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ном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«таляб»  –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заказ.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Исторически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ши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ра’ун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появляется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позднее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,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то есть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после даров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(гадайа)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 обмена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(табадуль).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Это </w:t>
      </w:r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объясняется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разными концепциями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.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Во времена праведных халифо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в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был осмыслен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 утверждён обычай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«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дарения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»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библи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отек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ам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мечетей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медресе (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дар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ы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те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сно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связывались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с концептами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закята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 садака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).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Потребность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в распределении даро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в (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например,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Корано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в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тафсир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о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в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)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определила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поиски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самых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коротких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и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безопасных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путей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передачи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рукописей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.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Эволюции источников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наполнения библиотек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способствовали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также и географические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открытия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.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Напр</w:t>
      </w:r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мер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,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во времена арабського географа Аль-Идри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с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путешественники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обменивались информацией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про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населённые пункты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реки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расстояние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,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время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которое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нужно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для их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преодоления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.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Иногда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они обменивались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картами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 рукописями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,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именно это стало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одним из прообразов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внедрения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в арабських б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иблиотеках табадуля (обмена). 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, на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конец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, за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ряд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сведений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кроме бартера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выплачивались денежные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lastRenderedPageBreak/>
        <w:t>вознаграждения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. </w:t>
      </w:r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Это стало одной из причин появления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в библиотеках источника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«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шира’ун</w:t>
      </w:r>
      <w:proofErr w:type="spellEnd"/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»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.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Так как не существовало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централ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изированного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механизма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опов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ещения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про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появление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нов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ых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рукописных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книг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ценились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культуро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логические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, 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л</w:t>
      </w:r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итературые</w:t>
      </w:r>
      <w:proofErr w:type="spellEnd"/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и </w:t>
      </w:r>
      <w:proofErr w:type="spellStart"/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торговые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фихристы 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(каталоги). Одним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из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примеров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этого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жанра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является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«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К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таб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аль-Ф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хр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ист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»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Ан-Нади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ма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.</w:t>
      </w:r>
    </w:p>
    <w:p w:rsidR="00A314C7" w:rsidRPr="00E835D9" w:rsidRDefault="00A314C7" w:rsidP="00DD1D6C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Покупка книг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не утратила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своей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актуальности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в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арабском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мире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в наш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е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время.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Например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,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Национальная библиотека Сирии Аз-Захирия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комплектует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ся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из таких </w:t>
      </w:r>
      <w:proofErr w:type="spellStart"/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трёх</w:t>
      </w:r>
      <w:proofErr w:type="spellEnd"/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основны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х </w:t>
      </w:r>
      <w:r w:rsidR="00DD1D6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источников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:</w:t>
      </w:r>
      <w:r w:rsidRPr="00E835D9">
        <w:rPr>
          <w:rFonts w:cs="Times New Roman"/>
          <w:sz w:val="36"/>
          <w:szCs w:val="36"/>
          <w:lang w:val="uk-UA" w:eastAsia="ru-RU" w:bidi="ar-EG"/>
        </w:rPr>
        <w:t xml:space="preserve"> </w:t>
      </w:r>
      <w:proofErr w:type="spellStart"/>
      <w:r w:rsidRPr="00E835D9">
        <w:rPr>
          <w:rFonts w:ascii="Times New Roman" w:hAnsi="Times New Roman" w:cs="Times New Roman"/>
          <w:sz w:val="28"/>
          <w:szCs w:val="28"/>
          <w:lang w:val="uk-UA" w:eastAsia="ru-RU" w:bidi="ar-EG"/>
        </w:rPr>
        <w:t>шира</w:t>
      </w:r>
      <w:r>
        <w:rPr>
          <w:rFonts w:ascii="Times New Roman" w:hAnsi="Times New Roman" w:cs="Times New Roman"/>
          <w:sz w:val="28"/>
          <w:szCs w:val="28"/>
          <w:lang w:val="uk-UA" w:eastAsia="ru-RU" w:bidi="ar-EG"/>
        </w:rPr>
        <w:t>’ун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 w:bidi="ar-EG"/>
        </w:rPr>
        <w:t>, гадайа, ат-табадулю ссакафий (культурний обме</w:t>
      </w:r>
      <w:r w:rsidRPr="00E835D9">
        <w:rPr>
          <w:rFonts w:ascii="Times New Roman" w:hAnsi="Times New Roman" w:cs="Times New Roman"/>
          <w:sz w:val="28"/>
          <w:szCs w:val="28"/>
          <w:lang w:val="uk-UA" w:eastAsia="ru-RU" w:bidi="ar-EG"/>
        </w:rPr>
        <w:t xml:space="preserve">н). </w:t>
      </w:r>
      <w:r w:rsidR="00DD1D6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Национальная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библиотека Сирии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Аль-Асада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имеет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четыре источника комплектования</w:t>
      </w:r>
      <w:r w:rsidR="00DD1D6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DD1D6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шира’ун</w:t>
      </w:r>
      <w:proofErr w:type="spellEnd"/>
      <w:r w:rsidR="00DD1D6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ОЭ, табадуль и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гадайа. Александрийс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ка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 библиотека Египта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ещё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до о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фициального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открытия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2002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осуществляла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закупки литературы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причём львиная их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часть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спонсировалась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ЮНЕСКО.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Таким образом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шира’ун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остаётся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стратегическим источником комплектування фондо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 арабских библиотеках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</w:p>
    <w:p w:rsidR="00A314C7" w:rsidRPr="00E835D9" w:rsidRDefault="00A314C7" w:rsidP="009B552C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 w:bidi="ar-EG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Покупка библиотечных материалов и подписка периодики арабскими библи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отеками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является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важной составляющей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комплектования фондов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. А. Х. М. Салямат 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[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2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r w:rsidRPr="00E835D9">
        <w:rPr>
          <w:rFonts w:ascii="Times New Roman" w:eastAsia="SimSun" w:hAnsi="Times New Roman" w:cs="Times New Roman"/>
          <w:sz w:val="28"/>
          <w:szCs w:val="28"/>
          <w:lang w:eastAsia="ru-RU"/>
        </w:rPr>
        <w:t>c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 255]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характеризует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закупки</w:t>
      </w:r>
      <w:r w:rsidR="009B552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9B552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аш-ши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рау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и подписку </w:t>
      </w:r>
      <w:r w:rsidR="009B552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(аль-ишти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рак)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с точки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зрения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особого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места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книги 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экономической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инфраструктуре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То есть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r w:rsidR="009B552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 аналогии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товара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который покупается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продаётся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он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предложил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виденье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перехода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от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книжного товара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библиотечному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материалу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»,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что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объясняет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ряд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важных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системны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х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отношений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 Основно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й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причино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й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продолжения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эволюции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покупки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 подписки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является постоянная потребность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любой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библиотеки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разнообразных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библиотечных материалах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Системно эти источники комплектования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представляются через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джраат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или процедуры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которые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А. Х. М. Салямат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делит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на два основных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потока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: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иджраату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ль-ихтияр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»  –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процесы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отбора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иджраату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тталаб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»  –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процесы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заказа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Второй по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важности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логической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цепью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систем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е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является присутствие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 диференциация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что важно для отбора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источников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Именно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диферсифицирование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закупок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ряде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экономических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случаев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играет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важную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иногда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доминантную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роль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Кроме того,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диверсификация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закупки и подписки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може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снижать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риски </w:t>
      </w:r>
      <w:r w:rsidR="009B552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при э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коном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ических</w:t>
      </w:r>
      <w:r w:rsidR="009B552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кризисних </w:t>
      </w:r>
      <w:proofErr w:type="spellStart"/>
      <w:r w:rsidR="009B552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ситуациях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</w:t>
      </w:r>
    </w:p>
    <w:p w:rsidR="00A314C7" w:rsidRPr="00E835D9" w:rsidRDefault="00A314C7" w:rsidP="009B552C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Покупка и подписка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 библиотеках  Ближнего Востока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осуществляется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непосредственно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от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издателя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мин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ннаши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мубашарат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),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 помощью агента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посредника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) 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мин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ваки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ль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),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местного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брокера 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мин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васитин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мухили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й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или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иностранного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мин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васитин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хариджи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й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),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с помощью книжних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магазинов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махалят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бай’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аль-кутуб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),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регулярных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ярмарок 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мина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ль-маари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да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дда’имат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временных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мина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ль-маари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да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ль-му’акатат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),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путём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получения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пропозиц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ий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от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авторо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в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или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продавцов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(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когут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присылать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экземпляры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для библиотеки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для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их изучения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библиотекарями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тафаххас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) и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критической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рецензии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(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накд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)).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После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осмотра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и анализа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предложений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если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такая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услуга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предлагается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),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библиотека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оплачивает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нужные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материалы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и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возращает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непрофильные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договор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approval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plan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)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.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Такой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9B552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является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общая концепция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закупки без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детализации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. </w:t>
      </w:r>
    </w:p>
    <w:p w:rsidR="00A314C7" w:rsidRPr="00E835D9" w:rsidRDefault="00A314C7" w:rsidP="00A314C7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Практическим аспектом изучения покупки и подписки является рассмотрение процедуры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зака</w:t>
      </w:r>
      <w:r w:rsidR="009B552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за</w:t>
      </w:r>
      <w:proofErr w:type="spellEnd"/>
      <w:r w:rsidR="009B552C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. Рассмотрим этот вопрос более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подробно.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Основой является специальная форма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или специальный заказ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(таляб хас).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Его формирование начинается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в отделе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(</w:t>
      </w:r>
      <w:proofErr w:type="spellStart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департамент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е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) к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омплектования фондов, который ответстве</w:t>
      </w:r>
      <w:r w:rsidR="003E2778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нен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за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отбор материалов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. В </w:t>
      </w:r>
      <w:proofErr w:type="spellStart"/>
      <w:r w:rsidR="003E2778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арабском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библиотековедении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существует много парадигм отбора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.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Ряд исследователей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(Ю. Абду ль-Маат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, М. Альян, М. Ат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и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м)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рассматривают его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как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составляющую</w:t>
      </w:r>
      <w:proofErr w:type="spellEnd"/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системы формирования фондов</w:t>
      </w:r>
      <w:r w:rsidRPr="00E835D9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[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12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с. 46] [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1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r w:rsidRPr="00E835D9">
        <w:rPr>
          <w:rFonts w:ascii="Times New Roman" w:eastAsia="SimSun" w:hAnsi="Times New Roman" w:cs="Times New Roman"/>
          <w:sz w:val="28"/>
          <w:szCs w:val="28"/>
          <w:lang w:eastAsia="ru-RU"/>
        </w:rPr>
        <w:t>c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 10]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.  Ш. Хали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фа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рассматривал отбор материалов в учебных заведениях 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[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13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].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Исследователь рекомендовал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передавать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отбор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л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итературы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 сфер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е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спец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иальных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учебных материалов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сотрудникам</w:t>
      </w:r>
      <w:proofErr w:type="spellEnd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преподавательского состава</w:t>
      </w:r>
      <w:r w:rsidRPr="00E835D9">
        <w:rPr>
          <w:rFonts w:ascii="Times New Roman" w:eastAsia="SimSun" w:hAnsi="Times New Roman" w:cs="Times New Roman"/>
          <w:sz w:val="28"/>
          <w:vertAlign w:val="superscript"/>
          <w:lang w:val="uk-UA" w:eastAsia="ru-RU"/>
        </w:rPr>
        <w:footnoteReference w:id="3"/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При закупках также используются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аналитические подходы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определения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процентних соотношений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 фондах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определённых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тематических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рубрик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 [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13</w:t>
      </w:r>
      <w:r w:rsidRPr="00E835D9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, </w:t>
      </w:r>
      <w:r w:rsidRPr="00E835D9">
        <w:rPr>
          <w:rFonts w:ascii="Times New Roman" w:eastAsia="SimSun" w:hAnsi="Times New Roman" w:cs="Times New Roman"/>
          <w:sz w:val="28"/>
          <w:szCs w:val="28"/>
          <w:lang w:eastAsia="ru-RU"/>
        </w:rPr>
        <w:t>c</w:t>
      </w:r>
      <w:r w:rsidRPr="00E835D9">
        <w:rPr>
          <w:rFonts w:ascii="Times New Roman" w:eastAsia="SimSun" w:hAnsi="Times New Roman" w:cs="Times New Roman"/>
          <w:sz w:val="28"/>
          <w:szCs w:val="28"/>
          <w:lang w:val="ru-RU" w:eastAsia="ru-RU"/>
        </w:rPr>
        <w:t>. 26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]</w:t>
      </w:r>
      <w:proofErr w:type="gramStart"/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:</w:t>
      </w:r>
      <w:proofErr w:type="gramEnd"/>
      <w:r w:rsidRPr="00E835D9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2"/>
        <w:gridCol w:w="1895"/>
        <w:gridCol w:w="1896"/>
        <w:gridCol w:w="1904"/>
        <w:gridCol w:w="1904"/>
      </w:tblGrid>
      <w:tr w:rsidR="00A314C7" w:rsidRPr="009D219E" w:rsidTr="00320503">
        <w:tc>
          <w:tcPr>
            <w:tcW w:w="1906" w:type="dxa"/>
          </w:tcPr>
          <w:p w:rsidR="00A314C7" w:rsidRPr="00E835D9" w:rsidRDefault="00A314C7" w:rsidP="00A314C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Тематич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еская</w:t>
            </w:r>
            <w:proofErr w:type="spellEnd"/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рубрика</w:t>
            </w:r>
            <w:proofErr w:type="spellEnd"/>
          </w:p>
        </w:tc>
        <w:tc>
          <w:tcPr>
            <w:tcW w:w="7624" w:type="dxa"/>
            <w:gridSpan w:val="4"/>
          </w:tcPr>
          <w:p w:rsidR="00A314C7" w:rsidRPr="00E835D9" w:rsidRDefault="00A314C7" w:rsidP="00A314C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Предложенные процентные соотношения (% литературы</w:t>
            </w: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к 100 %  фонда</w:t>
            </w: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D056AC" w:rsidRPr="00331BE3" w:rsidTr="00320503"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2" w:type="dxa"/>
            <w:gridSpan w:val="2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Рекомендации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британских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библи</w:t>
            </w: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отек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Рекомендации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американских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библи</w:t>
            </w: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отек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рекомендации индийских библи</w:t>
            </w: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отек</w:t>
            </w:r>
          </w:p>
        </w:tc>
      </w:tr>
      <w:tr w:rsidR="00D056AC" w:rsidRPr="00331BE3" w:rsidTr="00320503"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Общие знания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маари</w:t>
            </w: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ф</w:t>
            </w:r>
            <w:proofErr w:type="spellEnd"/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ама</w:t>
            </w:r>
            <w:proofErr w:type="spellEnd"/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3 %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4 %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3 %</w:t>
            </w:r>
          </w:p>
        </w:tc>
      </w:tr>
      <w:tr w:rsidR="00D056AC" w:rsidRPr="00331BE3" w:rsidTr="00320503"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Философи</w:t>
            </w: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я (</w:t>
            </w:r>
            <w:proofErr w:type="spellStart"/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фальсафа</w:t>
            </w:r>
            <w:proofErr w:type="spellEnd"/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4 %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1.9 %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4 %</w:t>
            </w:r>
          </w:p>
        </w:tc>
      </w:tr>
      <w:tr w:rsidR="00D056AC" w:rsidRPr="00331BE3" w:rsidTr="00320503"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Религия (ди</w:t>
            </w: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н)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5 %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3.2 %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5 %</w:t>
            </w:r>
          </w:p>
        </w:tc>
      </w:tr>
      <w:tr w:rsidR="00D056AC" w:rsidRPr="00331BE3" w:rsidTr="00320503">
        <w:trPr>
          <w:trHeight w:val="1826"/>
        </w:trPr>
        <w:tc>
          <w:tcPr>
            <w:tcW w:w="1906" w:type="dxa"/>
          </w:tcPr>
          <w:p w:rsidR="00A314C7" w:rsidRPr="00D056AC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Социологи</w:t>
            </w: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я</w:t>
            </w:r>
            <w:r w:rsidRPr="00D056AC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D056AC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общественные </w:t>
            </w: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науки</w:t>
            </w:r>
            <w:r w:rsidRPr="00D056AC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улюму</w:t>
            </w:r>
            <w:proofErr w:type="spellEnd"/>
            <w:r w:rsidRPr="00D056AC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056AC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иджти</w:t>
            </w: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маиййа</w:t>
            </w:r>
            <w:proofErr w:type="spellEnd"/>
            <w:r w:rsidRPr="00D056AC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7 %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5.5 %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9 %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15 %</w:t>
            </w:r>
          </w:p>
        </w:tc>
      </w:tr>
      <w:tr w:rsidR="00D056AC" w:rsidRPr="00331BE3" w:rsidTr="00320503">
        <w:tc>
          <w:tcPr>
            <w:tcW w:w="1906" w:type="dxa"/>
          </w:tcPr>
          <w:p w:rsidR="00A314C7" w:rsidRPr="00E835D9" w:rsidRDefault="00D056AC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Языки </w:t>
            </w:r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люгат</w:t>
            </w:r>
            <w:proofErr w:type="spellEnd"/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4 %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1.2 %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4 %</w:t>
            </w:r>
          </w:p>
        </w:tc>
      </w:tr>
      <w:tr w:rsidR="00D056AC" w:rsidRPr="00331BE3" w:rsidTr="00320503">
        <w:tc>
          <w:tcPr>
            <w:tcW w:w="1906" w:type="dxa"/>
          </w:tcPr>
          <w:p w:rsidR="00A314C7" w:rsidRPr="00E835D9" w:rsidRDefault="00D056AC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Теоретические науки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улюму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би</w:t>
            </w:r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хатта</w:t>
            </w:r>
            <w:proofErr w:type="spellEnd"/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9 %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5.5 %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8 %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9 %</w:t>
            </w:r>
          </w:p>
        </w:tc>
      </w:tr>
      <w:tr w:rsidR="00D056AC" w:rsidRPr="00331BE3" w:rsidTr="00320503">
        <w:tc>
          <w:tcPr>
            <w:tcW w:w="1906" w:type="dxa"/>
          </w:tcPr>
          <w:p w:rsidR="00A314C7" w:rsidRPr="00E835D9" w:rsidRDefault="00D056AC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Прикладные</w:t>
            </w:r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науки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улюму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татбики</w:t>
            </w:r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ййа</w:t>
            </w:r>
            <w:proofErr w:type="spellEnd"/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9 %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5.7 %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6 %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9 %</w:t>
            </w:r>
          </w:p>
        </w:tc>
      </w:tr>
      <w:tr w:rsidR="00D056AC" w:rsidRPr="00331BE3" w:rsidTr="00320503">
        <w:tc>
          <w:tcPr>
            <w:tcW w:w="1906" w:type="dxa"/>
          </w:tcPr>
          <w:p w:rsidR="00A314C7" w:rsidRPr="00E835D9" w:rsidRDefault="003E2778" w:rsidP="00D056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Изобразительное</w:t>
            </w:r>
            <w:r w:rsidR="00D056AC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искусство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фунуну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джами</w:t>
            </w:r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ля</w:t>
            </w:r>
            <w:proofErr w:type="spellEnd"/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7 %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7.9 %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4 %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7 %</w:t>
            </w:r>
          </w:p>
        </w:tc>
      </w:tr>
      <w:tr w:rsidR="00D056AC" w:rsidRPr="00331BE3" w:rsidTr="00320503">
        <w:tc>
          <w:tcPr>
            <w:tcW w:w="1906" w:type="dxa"/>
          </w:tcPr>
          <w:p w:rsidR="00A314C7" w:rsidRPr="00E835D9" w:rsidRDefault="00A314C7" w:rsidP="00D056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Л</w:t>
            </w:r>
            <w:r w:rsidR="00D056AC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итература </w:t>
            </w: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адаб</w:t>
            </w:r>
            <w:proofErr w:type="spellEnd"/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28 %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14.2 %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12 %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35D9">
              <w:rPr>
                <w:rFonts w:ascii="Tahoma" w:eastAsia="SimSun" w:hAnsi="Tahoma" w:cs="Tahoma"/>
                <w:sz w:val="24"/>
                <w:szCs w:val="24"/>
                <w:lang w:val="ru-RU" w:eastAsia="ru-RU"/>
              </w:rPr>
              <w:t>̶</w:t>
            </w: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056AC" w:rsidRPr="00331BE3" w:rsidTr="00320503">
        <w:tc>
          <w:tcPr>
            <w:tcW w:w="1906" w:type="dxa"/>
          </w:tcPr>
          <w:p w:rsidR="00A314C7" w:rsidRPr="00E835D9" w:rsidRDefault="00D056AC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Художественная литература</w:t>
            </w:r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касас</w:t>
            </w:r>
            <w:proofErr w:type="spellEnd"/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35D9">
              <w:rPr>
                <w:rFonts w:ascii="Tahoma" w:eastAsia="SimSun" w:hAnsi="Tahoma" w:cs="Tahoma"/>
                <w:sz w:val="24"/>
                <w:szCs w:val="24"/>
                <w:lang w:val="ru-RU" w:eastAsia="ru-RU"/>
              </w:rPr>
              <w:t>̶</w:t>
            </w: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34 %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20 %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20 %</w:t>
            </w:r>
          </w:p>
        </w:tc>
      </w:tr>
      <w:tr w:rsidR="00D056AC" w:rsidRPr="00331BE3" w:rsidTr="00320503">
        <w:tc>
          <w:tcPr>
            <w:tcW w:w="1906" w:type="dxa"/>
          </w:tcPr>
          <w:p w:rsidR="00A314C7" w:rsidRPr="00E835D9" w:rsidRDefault="00D056AC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История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тари</w:t>
            </w:r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spellEnd"/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8 %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35D9">
              <w:rPr>
                <w:rFonts w:ascii="Tahoma" w:eastAsia="SimSun" w:hAnsi="Tahoma" w:cs="Tahoma"/>
                <w:sz w:val="24"/>
                <w:szCs w:val="24"/>
                <w:lang w:val="ru-RU" w:eastAsia="ru-RU"/>
              </w:rPr>
              <w:t>̶</w:t>
            </w: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13 %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8 %</w:t>
            </w:r>
          </w:p>
        </w:tc>
      </w:tr>
      <w:tr w:rsidR="00D056AC" w:rsidRPr="00331BE3" w:rsidTr="00320503">
        <w:tc>
          <w:tcPr>
            <w:tcW w:w="1906" w:type="dxa"/>
          </w:tcPr>
          <w:p w:rsidR="00A314C7" w:rsidRPr="00E835D9" w:rsidRDefault="00D056AC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Переводы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тараджи</w:t>
            </w:r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spellEnd"/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8 %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19.2 %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10 %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8 %</w:t>
            </w:r>
          </w:p>
        </w:tc>
      </w:tr>
      <w:tr w:rsidR="00D056AC" w:rsidRPr="00331BE3" w:rsidTr="00320503">
        <w:tc>
          <w:tcPr>
            <w:tcW w:w="1906" w:type="dxa"/>
          </w:tcPr>
          <w:p w:rsidR="00D056AC" w:rsidRDefault="00D056AC" w:rsidP="00D056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Географи</w:t>
            </w:r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путешествия</w:t>
            </w:r>
          </w:p>
          <w:p w:rsidR="00A314C7" w:rsidRPr="00E835D9" w:rsidRDefault="00D056AC" w:rsidP="00D056A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джуграфиййа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ри</w:t>
            </w:r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хлат</w:t>
            </w:r>
            <w:proofErr w:type="spellEnd"/>
            <w:r w:rsidR="00A314C7"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8 %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835D9">
              <w:rPr>
                <w:rFonts w:ascii="Tahoma" w:eastAsia="SimSun" w:hAnsi="Tahoma" w:cs="Tahoma"/>
                <w:sz w:val="24"/>
                <w:szCs w:val="24"/>
                <w:lang w:val="ru-RU" w:eastAsia="ru-RU"/>
              </w:rPr>
              <w:t>̶</w:t>
            </w: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10 %</w:t>
            </w:r>
          </w:p>
        </w:tc>
        <w:tc>
          <w:tcPr>
            <w:tcW w:w="1906" w:type="dxa"/>
          </w:tcPr>
          <w:p w:rsidR="00A314C7" w:rsidRPr="00E835D9" w:rsidRDefault="00A314C7" w:rsidP="003205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E835D9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8 %</w:t>
            </w:r>
          </w:p>
        </w:tc>
      </w:tr>
    </w:tbl>
    <w:p w:rsidR="00A314C7" w:rsidRDefault="00A314C7" w:rsidP="00A314C7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A314C7" w:rsidRPr="00E835D9" w:rsidRDefault="00D056AC" w:rsidP="00A314C7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Таким образом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при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закупках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учитываются потребности библиотеки в тех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или иных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предметно-тематич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еских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рубриках. </w:t>
      </w:r>
    </w:p>
    <w:p w:rsidR="00A314C7" w:rsidRDefault="00D056AC" w:rsidP="00F560E0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 </w:t>
      </w:r>
      <w:r w:rsidR="00F560E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более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общих случаях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r w:rsidR="00F560E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когда являются важн</w:t>
      </w:r>
      <w:proofErr w:type="spellStart"/>
      <w:r w:rsidR="00F560E0">
        <w:rPr>
          <w:rFonts w:ascii="Times New Roman" w:eastAsia="SimSun" w:hAnsi="Times New Roman" w:cs="Times New Roman"/>
          <w:sz w:val="28"/>
          <w:szCs w:val="28"/>
          <w:lang w:val="ru-RU" w:eastAsia="ru-RU"/>
        </w:rPr>
        <w:t>ы</w:t>
      </w:r>
      <w:proofErr w:type="spellEnd"/>
      <w:r w:rsidR="00F560E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ми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F560E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соотношения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F560E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 количественными показателями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F560E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читательской аудитории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(</w:t>
      </w:r>
      <w:r w:rsidR="00F560E0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 основном, это </w:t>
      </w:r>
      <w:r w:rsidR="00F560E0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касается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F560E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библиотек типа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«мактабат амат»</w:t>
      </w:r>
      <w:r w:rsidR="00F560E0">
        <w:rPr>
          <w:rStyle w:val="a3"/>
          <w:rFonts w:ascii="Times New Roman" w:eastAsia="SimSun" w:hAnsi="Times New Roman"/>
          <w:sz w:val="28"/>
          <w:szCs w:val="28"/>
          <w:lang w:val="uk-UA" w:eastAsia="ru-RU"/>
        </w:rPr>
        <w:footnoteReference w:id="4"/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), </w:t>
      </w:r>
      <w:r w:rsidR="00F560E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количество заказанной литературы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F560E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может корректироваться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F560E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 помощью специальных таблиц</w:t>
      </w:r>
      <w:r w:rsidR="00A314C7" w:rsidRPr="00E835D9">
        <w:rPr>
          <w:rFonts w:ascii="Times New Roman" w:eastAsia="SimSun" w:hAnsi="Times New Roman" w:cs="Times New Roman"/>
          <w:sz w:val="28"/>
          <w:vertAlign w:val="superscript"/>
          <w:lang w:val="uk-UA" w:eastAsia="ru-RU"/>
        </w:rPr>
        <w:footnoteReference w:id="5"/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[</w:t>
      </w:r>
      <w:r w:rsidR="00F560E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, 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eastAsia="ru-RU"/>
        </w:rPr>
        <w:t>c</w:t>
      </w:r>
      <w:r w:rsidR="00A314C7"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 23]:</w:t>
      </w:r>
    </w:p>
    <w:p w:rsidR="00A314C7" w:rsidRPr="00E835D9" w:rsidRDefault="00A314C7" w:rsidP="00F560E0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A314C7" w:rsidRPr="00E835D9" w:rsidRDefault="00A314C7" w:rsidP="00A314C7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A314C7" w:rsidRPr="00F305EE" w:rsidRDefault="00751406" w:rsidP="00A314C7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751406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pt;margin-top:-18pt;width:135pt;height:27pt;z-index:251661312">
            <v:textbox>
              <w:txbxContent>
                <w:p w:rsidR="00A314C7" w:rsidRPr="006268CD" w:rsidRDefault="00F560E0" w:rsidP="00A314C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Количество книг в фонде</w:t>
                  </w:r>
                </w:p>
              </w:txbxContent>
            </v:textbox>
          </v:shape>
        </w:pict>
      </w:r>
      <w:r w:rsidRPr="00751406">
        <w:rPr>
          <w:noProof/>
          <w:lang w:val="ru-RU" w:eastAsia="ru-RU"/>
        </w:rPr>
        <w:pict>
          <v:shape id="_x0000_s1028" type="#_x0000_t202" style="position:absolute;left:0;text-align:left;margin-left:180pt;margin-top:-18pt;width:162pt;height:36pt;z-index:251662336">
            <v:textbox>
              <w:txbxContent>
                <w:p w:rsidR="00A314C7" w:rsidRPr="00281EF1" w:rsidRDefault="00F560E0" w:rsidP="00F560E0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Количество книг</w:t>
                  </w:r>
                  <w:r w:rsidR="00A314C7" w:rsidRPr="00281EF1">
                    <w:rPr>
                      <w:rFonts w:ascii="Times New Roman" w:hAnsi="Times New Roman" w:cs="Times New Roman"/>
                      <w:lang w:val="uk-UA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расчёте</w:t>
                  </w:r>
                  <w:r w:rsidR="00A314C7" w:rsidRPr="00281EF1">
                    <w:rPr>
                      <w:rFonts w:ascii="Times New Roman" w:hAnsi="Times New Roman" w:cs="Times New Roman"/>
                      <w:lang w:val="uk-UA"/>
                    </w:rPr>
                    <w:t xml:space="preserve"> на 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одного человека</w:t>
                  </w:r>
                </w:p>
              </w:txbxContent>
            </v:textbox>
          </v:shape>
        </w:pict>
      </w:r>
      <w:r w:rsidRPr="00751406">
        <w:rPr>
          <w:noProof/>
          <w:lang w:val="ru-RU" w:eastAsia="ru-RU"/>
        </w:rPr>
        <w:pict>
          <v:shape id="_x0000_s1026" type="#_x0000_t202" style="position:absolute;left:0;text-align:left;margin-left:342pt;margin-top:-9pt;width:135pt;height:27pt;z-index:251660288">
            <v:textbox>
              <w:txbxContent>
                <w:p w:rsidR="00A314C7" w:rsidRPr="00281EF1" w:rsidRDefault="00F560E0" w:rsidP="00A314C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Количество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uk-UA"/>
                    </w:rPr>
                    <w:t>населения</w:t>
                  </w:r>
                  <w:proofErr w:type="spellEnd"/>
                </w:p>
              </w:txbxContent>
            </v:textbox>
          </v:shape>
        </w:pict>
      </w:r>
      <w:r w:rsidRPr="00751406">
        <w:rPr>
          <w:noProof/>
          <w:lang w:val="ru-RU" w:eastAsia="ru-RU"/>
        </w:rPr>
        <w:pict>
          <v:shape id="_x0000_s1029" type="#_x0000_t202" style="position:absolute;left:0;text-align:left;margin-left:2in;margin-top:47.1pt;width:1in;height:27pt;z-index:251663360">
            <v:textbox>
              <w:txbxContent>
                <w:p w:rsidR="00A314C7" w:rsidRPr="006268CD" w:rsidRDefault="00F560E0" w:rsidP="00A314C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25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uk-UA"/>
                    </w:rPr>
                    <w:t>ты</w:t>
                  </w:r>
                  <w:r w:rsidR="00A314C7">
                    <w:rPr>
                      <w:rFonts w:ascii="Times New Roman" w:hAnsi="Times New Roman" w:cs="Times New Roman"/>
                      <w:lang w:val="uk-UA"/>
                    </w:rPr>
                    <w:t>с</w:t>
                  </w:r>
                  <w:proofErr w:type="spellEnd"/>
                  <w:r w:rsidR="00A314C7">
                    <w:rPr>
                      <w:rFonts w:ascii="Times New Roman" w:hAnsi="Times New Roman" w:cs="Times New Roman"/>
                      <w:lang w:val="uk-UA"/>
                    </w:rPr>
                    <w:t>.</w:t>
                  </w:r>
                </w:p>
              </w:txbxContent>
            </v:textbox>
          </v:shape>
        </w:pict>
      </w:r>
      <w:r w:rsidRPr="00751406">
        <w:rPr>
          <w:noProof/>
          <w:lang w:val="ru-RU" w:eastAsia="ru-RU"/>
        </w:rPr>
        <w:pict>
          <v:shape id="_x0000_s1030" type="#_x0000_t202" style="position:absolute;left:0;text-align:left;margin-left:4in;margin-top:47.1pt;width:72.05pt;height:27pt;z-index:251664384">
            <v:textbox>
              <w:txbxContent>
                <w:p w:rsidR="00A314C7" w:rsidRPr="006268CD" w:rsidRDefault="00F560E0" w:rsidP="00A314C7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10-6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uk-UA"/>
                    </w:rPr>
                    <w:t>ты</w:t>
                  </w:r>
                  <w:r w:rsidR="00A314C7">
                    <w:rPr>
                      <w:rFonts w:ascii="Times New Roman" w:hAnsi="Times New Roman" w:cs="Times New Roman"/>
                      <w:lang w:val="uk-UA"/>
                    </w:rPr>
                    <w:t>с</w:t>
                  </w:r>
                  <w:proofErr w:type="spellEnd"/>
                  <w:r w:rsidR="00A314C7">
                    <w:rPr>
                      <w:rFonts w:ascii="Times New Roman" w:hAnsi="Times New Roman" w:cs="Times New Roman"/>
                      <w:lang w:val="uk-UA"/>
                    </w:rPr>
                    <w:t>.</w:t>
                  </w:r>
                </w:p>
              </w:txbxContent>
            </v:textbox>
          </v:shape>
        </w:pict>
      </w:r>
      <w:r w:rsidR="00A314C7"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>
            <wp:extent cx="5829300" cy="2686050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C7" w:rsidRPr="00E835D9" w:rsidRDefault="00A314C7" w:rsidP="00A314C7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314C7" w:rsidRPr="00E835D9" w:rsidRDefault="00B65102" w:rsidP="00B65102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uk-UA" w:eastAsia="ru-RU" w:bidi="ar-EG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uk-UA" w:eastAsia="ru-RU" w:bidi="ar-EG"/>
        </w:rPr>
        <w:tab/>
        <w:t xml:space="preserve">Теоретические аспекты изучения комплектования фондов библиотек Ближнего Востока тесно связаны с методологической базой. Среди методов, которые используются в научном исследовании: исторический, историографический, библиотековедческий, анализ библиотечной и юридической документации, моделирование, </w:t>
      </w:r>
      <w:r w:rsidR="00074792">
        <w:rPr>
          <w:rFonts w:ascii="Times New Roman" w:eastAsia="SimSun" w:hAnsi="Times New Roman" w:cs="Times New Roman"/>
          <w:bCs/>
          <w:sz w:val="28"/>
          <w:szCs w:val="28"/>
          <w:lang w:val="uk-UA" w:eastAsia="ru-RU" w:bidi="ar-EG"/>
        </w:rPr>
        <w:t>анализ важнейших подсистем комплектования, историческая реконструкция и др.</w:t>
      </w:r>
    </w:p>
    <w:p w:rsidR="00835D20" w:rsidRDefault="00835D20" w:rsidP="00835D20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</w:pPr>
    </w:p>
    <w:p w:rsidR="00835D20" w:rsidRDefault="00835D20" w:rsidP="00835D20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ru-RU" w:bidi="ar-EG"/>
        </w:rPr>
      </w:pPr>
      <w:r w:rsidRPr="00835D20">
        <w:rPr>
          <w:rFonts w:ascii="Times New Roman" w:eastAsia="MS Mincho" w:hAnsi="Times New Roman" w:cs="Times New Roman"/>
          <w:b/>
          <w:sz w:val="28"/>
          <w:szCs w:val="28"/>
          <w:lang w:val="uk-UA" w:eastAsia="ru-RU" w:bidi="ar-EG"/>
        </w:rPr>
        <w:t>ЛИТЕРАТУРА</w:t>
      </w:r>
    </w:p>
    <w:p w:rsidR="00835D20" w:rsidRDefault="00835D20" w:rsidP="00835D20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1. Альян М. Р.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Развитие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фондов библиотеки (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тазвид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) /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Рабхи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Мустафа Альйан. – Дару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сифаи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лиль-нашр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ва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Т-тавзи’и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. – Амман, 2000. – 204 с.</w:t>
      </w:r>
    </w:p>
    <w:p w:rsidR="00835D20" w:rsidRDefault="00835D20" w:rsidP="00835D20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2. Салямат А. Х. М.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Информационное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обслуживание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и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развитие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фондов библиотек / Мухаммад Салямат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Аль-Хафиз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. – Дару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ль-Фикри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лиль-Табаати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ва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н-Нашри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ва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т-Тавзи’и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, 1997. – 380 с.</w:t>
      </w:r>
    </w:p>
    <w:p w:rsidR="00835D20" w:rsidRDefault="00835D20" w:rsidP="00835D20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lastRenderedPageBreak/>
        <w:t xml:space="preserve">3.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Ан-Наваясат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Г. А.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Развитие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библиотечных фондов в библиотеках и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информационных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центрах /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Галиб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Авд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Ан-Наваясат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. – Амман: Дару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ль-Фикри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лиль-Табаати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ва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Н-нашр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, 2000. – 201 с.</w:t>
      </w:r>
    </w:p>
    <w:p w:rsidR="00835D20" w:rsidRDefault="00835D20" w:rsidP="00835D20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4. Амин А. К. И.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Библиотечные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процессы / Абду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ль-Карим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Ибрагим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Амин. – Мосул: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Матабиу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муассати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дари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ль-кутуб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, 1980. – 145 с. </w:t>
      </w:r>
    </w:p>
    <w:p w:rsidR="00835D20" w:rsidRDefault="00835D20" w:rsidP="00835D20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5. Насар М. А. Ф.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Основы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формирования и развития фондов в центрах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образовательных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ресурсов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/ Мухаммад Абу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ль-Фатх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Насар. –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Каир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: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Мисру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лиль-хадамати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ль-ильмиййат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, 2003. – 169 с.</w:t>
      </w:r>
    </w:p>
    <w:p w:rsidR="00835D20" w:rsidRDefault="00835D20" w:rsidP="00835D20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6. Атим М. А.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Создание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научного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профиля и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технические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специальные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процессы для формирования фондов / Махмуд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Ахмад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Атим. – 1986,</w:t>
      </w:r>
      <w:r w:rsidR="00B34BA5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 w:rsidR="00B34BA5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варакат</w:t>
      </w:r>
      <w:proofErr w:type="spellEnd"/>
      <w:r w:rsidR="00B34BA5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гайр </w:t>
      </w:r>
      <w:proofErr w:type="spellStart"/>
      <w:r w:rsidR="00B34BA5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маншурат</w:t>
      </w:r>
      <w:proofErr w:type="spellEnd"/>
      <w:r w:rsidR="00B34BA5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(</w:t>
      </w:r>
      <w:proofErr w:type="spellStart"/>
      <w:r w:rsidR="00B34BA5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неопубликованная</w:t>
      </w:r>
      <w:proofErr w:type="spellEnd"/>
      <w:r w:rsidR="00B34BA5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</w:t>
      </w:r>
      <w:proofErr w:type="spellStart"/>
      <w:r w:rsidR="00B34BA5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статья</w:t>
      </w:r>
      <w:proofErr w:type="spellEnd"/>
      <w:r w:rsidR="00B34BA5"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).</w:t>
      </w:r>
    </w:p>
    <w:p w:rsidR="00B34BA5" w:rsidRDefault="00B34BA5" w:rsidP="00835D20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7. Абабадат Х.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Источники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информации и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развитие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 xml:space="preserve"> фондов библиотек / Хасан Абабадат. –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Сувайлих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. – 1996.</w:t>
      </w:r>
    </w:p>
    <w:p w:rsidR="00B34BA5" w:rsidRDefault="00B34BA5" w:rsidP="00835D20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 w:bidi="ar-EG"/>
        </w:rPr>
        <w:t>8.</w:t>
      </w:r>
      <w:r w:rsidRPr="00E835D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Ан-Нджадаві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А.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Введение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библиотековедение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информационную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науку / ред.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Анвар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Акруш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Садаки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Дахбур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– Амман: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Ассоциация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библиотек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Иордании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1982. – с. 109</w:t>
      </w:r>
      <w:r w:rsidRP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−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124.</w:t>
      </w:r>
    </w:p>
    <w:p w:rsidR="00B34BA5" w:rsidRDefault="003E2778" w:rsidP="003E277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9. Бактут М.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фондов в</w:t>
      </w:r>
      <w:r w:rsid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библиотеках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гуманитарного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факультета</w:t>
      </w:r>
      <w:proofErr w:type="spellEnd"/>
      <w:r w:rsid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факультета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общественных</w:t>
      </w:r>
      <w:proofErr w:type="spellEnd"/>
      <w:r w:rsid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наук </w:t>
      </w:r>
      <w:proofErr w:type="spellStart"/>
      <w:r w:rsid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Университета</w:t>
      </w:r>
      <w:proofErr w:type="spellEnd"/>
      <w:r w:rsid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Танта</w:t>
      </w:r>
      <w:proofErr w:type="spellEnd"/>
      <w:r w:rsid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/ Бактут Мухаммад </w:t>
      </w:r>
      <w:proofErr w:type="spellStart"/>
      <w:r w:rsid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Усама</w:t>
      </w:r>
      <w:proofErr w:type="spellEnd"/>
      <w:r w:rsid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Танта</w:t>
      </w:r>
      <w:proofErr w:type="spellEnd"/>
      <w:r w:rsid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Университет</w:t>
      </w:r>
      <w:proofErr w:type="spellEnd"/>
      <w:r w:rsid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Танта</w:t>
      </w:r>
      <w:proofErr w:type="spellEnd"/>
      <w:r w:rsidR="00B34B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2002. – 216 с.</w:t>
      </w:r>
    </w:p>
    <w:p w:rsidR="00B34BA5" w:rsidRDefault="00A314C7" w:rsidP="00835D20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10. Мутаваля Н. И.,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Тасдир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М. Ф. А. Г.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Современные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тенденции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управлении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развитии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фондов библиотек 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информационных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центров /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Нариман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Исмаил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Мутаваля. –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Каир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: Дару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ль-Мисриййату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Ллюбнаниййату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лиль-Табаати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н-Нашри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т-Тавзи’и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2002. – 168 с.</w:t>
      </w:r>
    </w:p>
    <w:p w:rsidR="00A314C7" w:rsidRDefault="00A314C7" w:rsidP="00835D20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11. Халифа Ш.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Формирование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фондов в библиотеках 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информационных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центрах: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изучение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теоретических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 практических основ / Халифа Абду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ль-Азиз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Шаабан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Александрия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: Дару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Ссакафати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ль-Ильмиййат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. – 404 с.</w:t>
      </w:r>
    </w:p>
    <w:p w:rsidR="00A314C7" w:rsidRDefault="00A314C7" w:rsidP="00835D20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12. Абду ль-Маати Я. Ю.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Развитие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фондов в библиотеках 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информационных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центрах / Абду ль-Маати Ясир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Юсуф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Александрия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Александрийский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 xml:space="preserve">центр библиотек 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средств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массовой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информации по вопросам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культуры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1998. – 172 с.</w:t>
      </w:r>
    </w:p>
    <w:p w:rsidR="00A314C7" w:rsidRDefault="00A314C7" w:rsidP="00835D20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13. Халифа Ш. Комплектование библиотеки печатними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изданиями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: теоретические и практические основы /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Шаабан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Абду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ль-Азиз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Халифа. –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Ар-Рияд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: Дару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ль-Мурих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. – 1984. – 268 с.</w:t>
      </w:r>
    </w:p>
    <w:p w:rsidR="00A314C7" w:rsidRDefault="00A314C7" w:rsidP="00835D20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A314C7" w:rsidRDefault="00A314C7" w:rsidP="00835D20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1E228C" w:rsidRPr="00835D20" w:rsidRDefault="001E228C">
      <w:pPr>
        <w:rPr>
          <w:sz w:val="28"/>
          <w:szCs w:val="28"/>
          <w:lang w:val="uk-UA"/>
        </w:rPr>
      </w:pPr>
    </w:p>
    <w:sectPr w:rsidR="001E228C" w:rsidRPr="00835D20" w:rsidSect="0082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D20" w:rsidRDefault="00835D20" w:rsidP="00835D20">
      <w:pPr>
        <w:spacing w:after="0" w:line="240" w:lineRule="auto"/>
      </w:pPr>
      <w:r>
        <w:separator/>
      </w:r>
    </w:p>
  </w:endnote>
  <w:endnote w:type="continuationSeparator" w:id="1">
    <w:p w:rsidR="00835D20" w:rsidRDefault="00835D20" w:rsidP="0083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D20" w:rsidRDefault="00835D20" w:rsidP="00835D20">
      <w:pPr>
        <w:spacing w:after="0" w:line="240" w:lineRule="auto"/>
      </w:pPr>
      <w:r>
        <w:separator/>
      </w:r>
    </w:p>
  </w:footnote>
  <w:footnote w:type="continuationSeparator" w:id="1">
    <w:p w:rsidR="00835D20" w:rsidRDefault="00835D20" w:rsidP="00835D20">
      <w:pPr>
        <w:spacing w:after="0" w:line="240" w:lineRule="auto"/>
      </w:pPr>
      <w:r>
        <w:continuationSeparator/>
      </w:r>
    </w:p>
  </w:footnote>
  <w:footnote w:id="2">
    <w:p w:rsidR="00835D20" w:rsidRPr="00835D20" w:rsidRDefault="00835D2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3"/>
        </w:rPr>
        <w:footnoteRef/>
      </w:r>
      <w:r w:rsidRPr="00835D2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Тазвид</w:t>
      </w:r>
      <w:proofErr w:type="spellEnd"/>
      <w:r>
        <w:rPr>
          <w:rFonts w:ascii="Times New Roman" w:hAnsi="Times New Roman" w:cs="Times New Roman"/>
          <w:lang w:val="ru-RU"/>
        </w:rPr>
        <w:t xml:space="preserve"> – арабский термин «формирование фондов», однако может употребляться и в значении «комплектование фондов».</w:t>
      </w:r>
    </w:p>
  </w:footnote>
  <w:footnote w:id="3">
    <w:p w:rsidR="00A314C7" w:rsidRPr="001C76A6" w:rsidRDefault="00A314C7" w:rsidP="00A314C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Style w:val="a3"/>
        </w:rPr>
        <w:footnoteRef/>
      </w:r>
      <w:r w:rsidRPr="00A314C7">
        <w:rPr>
          <w:lang w:val="uk-U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Однако этот метод имеет 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свои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недостатки</w:t>
      </w:r>
      <w:proofErr w:type="spellEnd"/>
      <w:r w:rsidRPr="00775184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: 1.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Преподаватели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не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всегда</w:t>
      </w:r>
      <w:proofErr w:type="spellEnd"/>
      <w:r w:rsidRPr="00775184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знаком с 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рецензиями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на книги (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накду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ль-кутуби</w:t>
      </w:r>
      <w:proofErr w:type="spellEnd"/>
      <w:r w:rsidRPr="00775184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) 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и несистемно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анализируют</w:t>
      </w:r>
      <w:proofErr w:type="spellEnd"/>
      <w:r w:rsidRPr="00775184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объявления</w:t>
      </w:r>
      <w:proofErr w:type="spellEnd"/>
      <w:r w:rsidRPr="00775184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(рекламу) 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издателей (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аалянату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ннашари</w:t>
      </w:r>
      <w:r w:rsidRPr="00775184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на</w:t>
      </w:r>
      <w:proofErr w:type="spellEnd"/>
      <w:r w:rsidRPr="00775184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); 2.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Преподавательский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состав</w:t>
      </w:r>
      <w:r w:rsidRPr="00775184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не имеет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достаточной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компетенции</w:t>
      </w:r>
      <w:proofErr w:type="spellEnd"/>
      <w:r w:rsidRPr="00775184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образования</w:t>
      </w:r>
      <w:proofErr w:type="spellEnd"/>
      <w:r w:rsidRPr="00775184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в сфере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библиографии</w:t>
      </w:r>
      <w:proofErr w:type="spellEnd"/>
      <w:r w:rsidRPr="00775184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; 3. 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Большинство преподавателей не имеют достаточно времени для такого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рода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деятельности</w:t>
      </w:r>
      <w:proofErr w:type="spellEnd"/>
      <w:r w:rsidRPr="00775184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. </w:t>
      </w:r>
    </w:p>
    <w:p w:rsidR="00A314C7" w:rsidRPr="00AC5891" w:rsidRDefault="00A314C7" w:rsidP="00A314C7">
      <w:pPr>
        <w:spacing w:after="0" w:line="240" w:lineRule="auto"/>
        <w:jc w:val="both"/>
        <w:rPr>
          <w:lang w:val="ru-RU"/>
        </w:rPr>
      </w:pPr>
    </w:p>
  </w:footnote>
  <w:footnote w:id="4">
    <w:p w:rsidR="00F560E0" w:rsidRPr="00F560E0" w:rsidRDefault="00F560E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3"/>
        </w:rPr>
        <w:footnoteRef/>
      </w:r>
      <w:r w:rsidRPr="00F560E0">
        <w:rPr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Публичные библиотеки</w:t>
      </w:r>
    </w:p>
  </w:footnote>
  <w:footnote w:id="5">
    <w:p w:rsidR="00A314C7" w:rsidRPr="00A314C7" w:rsidRDefault="00A314C7" w:rsidP="00A314C7">
      <w:pPr>
        <w:pStyle w:val="a4"/>
        <w:rPr>
          <w:lang w:val="ru-RU"/>
        </w:rPr>
      </w:pPr>
      <w:r>
        <w:rPr>
          <w:rStyle w:val="a3"/>
        </w:rPr>
        <w:footnoteRef/>
      </w:r>
      <w:r w:rsidRPr="00A314C7">
        <w:rPr>
          <w:lang w:val="ru-RU"/>
        </w:rPr>
        <w:t xml:space="preserve"> </w:t>
      </w:r>
      <w:r w:rsidR="00F560E0">
        <w:rPr>
          <w:rFonts w:asciiTheme="majorBidi" w:hAnsiTheme="majorBidi" w:cstheme="majorBidi"/>
          <w:sz w:val="24"/>
          <w:szCs w:val="24"/>
          <w:lang w:val="uk-UA"/>
        </w:rPr>
        <w:t>Теоретические взгляды М. Альяна и Ш. Халифы</w:t>
      </w:r>
      <w:r w:rsidRPr="00F560E0">
        <w:rPr>
          <w:rFonts w:asciiTheme="majorBidi" w:hAnsiTheme="majorBidi" w:cstheme="majorBidi"/>
          <w:sz w:val="24"/>
          <w:szCs w:val="24"/>
          <w:lang w:val="uk-UA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6320"/>
    <w:multiLevelType w:val="hybridMultilevel"/>
    <w:tmpl w:val="8C889E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1C3274"/>
    <w:multiLevelType w:val="hybridMultilevel"/>
    <w:tmpl w:val="751A04CE"/>
    <w:lvl w:ilvl="0" w:tplc="B86A6F84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D20"/>
    <w:rsid w:val="000106BC"/>
    <w:rsid w:val="00074792"/>
    <w:rsid w:val="001E228C"/>
    <w:rsid w:val="00212F64"/>
    <w:rsid w:val="00254B0B"/>
    <w:rsid w:val="003E2778"/>
    <w:rsid w:val="004D7B28"/>
    <w:rsid w:val="00751406"/>
    <w:rsid w:val="00821597"/>
    <w:rsid w:val="00835D20"/>
    <w:rsid w:val="00972C64"/>
    <w:rsid w:val="009B552C"/>
    <w:rsid w:val="009D219E"/>
    <w:rsid w:val="00A314C7"/>
    <w:rsid w:val="00B34BA5"/>
    <w:rsid w:val="00B60EB1"/>
    <w:rsid w:val="00B65102"/>
    <w:rsid w:val="00BF131B"/>
    <w:rsid w:val="00D056AC"/>
    <w:rsid w:val="00DD1D6C"/>
    <w:rsid w:val="00E05FD7"/>
    <w:rsid w:val="00F5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20"/>
    <w:rPr>
      <w:rFonts w:ascii="Calibri" w:eastAsia="Times New Roman" w:hAnsi="Calibri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35D2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835D2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35D20"/>
    <w:rPr>
      <w:rFonts w:ascii="Calibri" w:eastAsia="Times New Roman" w:hAnsi="Calibri" w:cs="Arial"/>
      <w:sz w:val="20"/>
      <w:szCs w:val="20"/>
      <w:lang w:val="en-US"/>
    </w:rPr>
  </w:style>
  <w:style w:type="character" w:styleId="a6">
    <w:name w:val="Hyperlink"/>
    <w:basedOn w:val="a0"/>
    <w:uiPriority w:val="99"/>
    <w:rsid w:val="00835D2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4C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BCED-282E-45BD-8408-C31DB15A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lyamets</dc:creator>
  <cp:keywords/>
  <dc:description/>
  <cp:lastModifiedBy>Sigurd</cp:lastModifiedBy>
  <cp:revision>15</cp:revision>
  <dcterms:created xsi:type="dcterms:W3CDTF">2015-07-03T08:05:00Z</dcterms:created>
  <dcterms:modified xsi:type="dcterms:W3CDTF">2015-07-05T16:55:00Z</dcterms:modified>
</cp:coreProperties>
</file>