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D9" w:rsidRPr="00954E65" w:rsidRDefault="00A971D9" w:rsidP="00A971D9">
      <w:pPr>
        <w:spacing w:after="480" w:line="264" w:lineRule="auto"/>
        <w:rPr>
          <w:rFonts w:eastAsia="MS Mincho"/>
          <w:noProof/>
          <w:sz w:val="20"/>
          <w:szCs w:val="20"/>
          <w:lang w:eastAsia="en-US"/>
        </w:rPr>
      </w:pPr>
      <w:r w:rsidRPr="00954E65">
        <w:rPr>
          <w:rFonts w:eastAsia="MS Mincho"/>
          <w:noProof/>
          <w:sz w:val="20"/>
          <w:szCs w:val="20"/>
          <w:lang w:eastAsia="en-US"/>
        </w:rPr>
        <w:t>УДК</w:t>
      </w:r>
      <w:r w:rsidR="006B1504">
        <w:rPr>
          <w:rFonts w:eastAsia="MS Mincho"/>
          <w:noProof/>
          <w:sz w:val="20"/>
          <w:szCs w:val="20"/>
          <w:lang w:eastAsia="en-US"/>
        </w:rPr>
        <w:t xml:space="preserve"> 33.336</w:t>
      </w:r>
    </w:p>
    <w:p w:rsidR="00A971D9" w:rsidRPr="00954E65" w:rsidRDefault="00D93A8F" w:rsidP="00A971D9">
      <w:pPr>
        <w:spacing w:after="480" w:line="264" w:lineRule="auto"/>
        <w:jc w:val="center"/>
        <w:rPr>
          <w:smallCaps/>
          <w:sz w:val="20"/>
          <w:szCs w:val="20"/>
        </w:rPr>
      </w:pPr>
      <w:r>
        <w:rPr>
          <w:rFonts w:eastAsia="MS Mincho"/>
          <w:noProof/>
          <w:sz w:val="20"/>
          <w:szCs w:val="20"/>
          <w:lang w:eastAsia="en-US"/>
        </w:rPr>
        <w:t>Анализ зависимости процентной ставки по депозитам в коммерческ</w:t>
      </w:r>
      <w:r w:rsidR="005430BB">
        <w:rPr>
          <w:rFonts w:eastAsia="MS Mincho"/>
          <w:noProof/>
          <w:sz w:val="20"/>
          <w:szCs w:val="20"/>
          <w:lang w:eastAsia="en-US"/>
        </w:rPr>
        <w:t>и</w:t>
      </w:r>
      <w:r>
        <w:rPr>
          <w:rFonts w:eastAsia="MS Mincho"/>
          <w:noProof/>
          <w:sz w:val="20"/>
          <w:szCs w:val="20"/>
          <w:lang w:eastAsia="en-US"/>
        </w:rPr>
        <w:t>х банках от учётной ставки Банка России</w:t>
      </w:r>
    </w:p>
    <w:p w:rsidR="00A971D9" w:rsidRPr="00954E65" w:rsidRDefault="00C04D72" w:rsidP="00A971D9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Евгения Юрьевна Козина</w:t>
      </w:r>
      <w:proofErr w:type="gramStart"/>
      <w:r w:rsidR="00A971D9" w:rsidRPr="00954E65">
        <w:rPr>
          <w:sz w:val="20"/>
          <w:szCs w:val="20"/>
          <w:vertAlign w:val="superscript"/>
        </w:rPr>
        <w:t>1</w:t>
      </w:r>
      <w:proofErr w:type="gramEnd"/>
      <w:r>
        <w:rPr>
          <w:sz w:val="20"/>
          <w:szCs w:val="20"/>
        </w:rPr>
        <w:t xml:space="preserve"> </w:t>
      </w:r>
      <w:r w:rsidR="00A971D9" w:rsidRPr="00954E65">
        <w:rPr>
          <w:sz w:val="20"/>
          <w:szCs w:val="20"/>
        </w:rPr>
        <w:t xml:space="preserve">, </w:t>
      </w:r>
      <w:r>
        <w:rPr>
          <w:sz w:val="20"/>
          <w:szCs w:val="20"/>
        </w:rPr>
        <w:t>Наталья Ивановна Мазурина</w:t>
      </w:r>
      <w:r w:rsidR="00A971D9" w:rsidRPr="00954E65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</w:p>
    <w:p w:rsidR="00A971D9" w:rsidRPr="00954E65" w:rsidRDefault="00A971D9" w:rsidP="00A971D9">
      <w:pPr>
        <w:spacing w:line="264" w:lineRule="auto"/>
        <w:jc w:val="center"/>
        <w:rPr>
          <w:i/>
          <w:sz w:val="20"/>
          <w:szCs w:val="20"/>
        </w:rPr>
      </w:pPr>
      <w:r w:rsidRPr="00954E65">
        <w:rPr>
          <w:i/>
          <w:sz w:val="20"/>
          <w:szCs w:val="20"/>
          <w:vertAlign w:val="superscript"/>
        </w:rPr>
        <w:t>1</w:t>
      </w:r>
      <w:r w:rsidR="00C04D72">
        <w:rPr>
          <w:i/>
          <w:sz w:val="20"/>
          <w:szCs w:val="20"/>
        </w:rPr>
        <w:t>Омский Государственный Технический Университет (Институт Дизайна и Технологий),г</w:t>
      </w:r>
      <w:proofErr w:type="gramStart"/>
      <w:r w:rsidR="00C04D72">
        <w:rPr>
          <w:i/>
          <w:sz w:val="20"/>
          <w:szCs w:val="20"/>
        </w:rPr>
        <w:t>.О</w:t>
      </w:r>
      <w:proofErr w:type="gramEnd"/>
      <w:r w:rsidR="00C04D72">
        <w:rPr>
          <w:i/>
          <w:sz w:val="20"/>
          <w:szCs w:val="20"/>
        </w:rPr>
        <w:t>мск, Россия</w:t>
      </w:r>
    </w:p>
    <w:p w:rsidR="00C04D72" w:rsidRPr="00954E65" w:rsidRDefault="00A971D9" w:rsidP="00C04D72">
      <w:pPr>
        <w:spacing w:line="264" w:lineRule="auto"/>
        <w:jc w:val="center"/>
        <w:rPr>
          <w:i/>
          <w:sz w:val="20"/>
          <w:szCs w:val="20"/>
        </w:rPr>
      </w:pPr>
      <w:r w:rsidRPr="00954E65">
        <w:rPr>
          <w:i/>
          <w:sz w:val="20"/>
          <w:szCs w:val="20"/>
          <w:vertAlign w:val="superscript"/>
        </w:rPr>
        <w:t>2</w:t>
      </w:r>
      <w:r w:rsidR="00C04D72">
        <w:rPr>
          <w:i/>
          <w:sz w:val="20"/>
          <w:szCs w:val="20"/>
        </w:rPr>
        <w:t>Омский Государственный Технический Университет (Институт Дизайна и Технологий),г</w:t>
      </w:r>
      <w:proofErr w:type="gramStart"/>
      <w:r w:rsidR="00C04D72">
        <w:rPr>
          <w:i/>
          <w:sz w:val="20"/>
          <w:szCs w:val="20"/>
        </w:rPr>
        <w:t>.О</w:t>
      </w:r>
      <w:proofErr w:type="gramEnd"/>
      <w:r w:rsidR="00C04D72">
        <w:rPr>
          <w:i/>
          <w:sz w:val="20"/>
          <w:szCs w:val="20"/>
        </w:rPr>
        <w:t>мск, Россия</w:t>
      </w:r>
    </w:p>
    <w:p w:rsidR="00A971D9" w:rsidRPr="00954E65" w:rsidRDefault="00A971D9" w:rsidP="00A971D9">
      <w:pPr>
        <w:spacing w:line="264" w:lineRule="auto"/>
        <w:jc w:val="center"/>
        <w:rPr>
          <w:i/>
          <w:sz w:val="20"/>
          <w:szCs w:val="20"/>
        </w:rPr>
      </w:pPr>
    </w:p>
    <w:p w:rsidR="00A971D9" w:rsidRPr="00A971D9" w:rsidRDefault="00A971D9" w:rsidP="00A971D9">
      <w:pPr>
        <w:spacing w:line="264" w:lineRule="auto"/>
        <w:jc w:val="both"/>
        <w:rPr>
          <w:b/>
          <w:i/>
          <w:sz w:val="20"/>
          <w:szCs w:val="20"/>
        </w:rPr>
      </w:pPr>
    </w:p>
    <w:p w:rsidR="00A971D9" w:rsidRDefault="00A971D9" w:rsidP="00A971D9">
      <w:pPr>
        <w:spacing w:line="264" w:lineRule="auto"/>
        <w:jc w:val="both"/>
        <w:rPr>
          <w:b/>
          <w:color w:val="000000" w:themeColor="text1"/>
          <w:sz w:val="20"/>
          <w:szCs w:val="20"/>
        </w:rPr>
      </w:pPr>
      <w:r w:rsidRPr="00954E65">
        <w:rPr>
          <w:b/>
          <w:i/>
          <w:sz w:val="20"/>
          <w:szCs w:val="20"/>
        </w:rPr>
        <w:t>Аннотация</w:t>
      </w:r>
      <w:r w:rsidRPr="00954E65">
        <w:rPr>
          <w:b/>
          <w:sz w:val="20"/>
          <w:szCs w:val="20"/>
        </w:rPr>
        <w:t xml:space="preserve"> – </w:t>
      </w:r>
      <w:r w:rsidR="000C408D">
        <w:rPr>
          <w:b/>
          <w:sz w:val="20"/>
          <w:szCs w:val="20"/>
        </w:rPr>
        <w:t xml:space="preserve">В </w:t>
      </w:r>
      <w:r w:rsidR="002A1BC0">
        <w:rPr>
          <w:b/>
          <w:sz w:val="20"/>
          <w:szCs w:val="20"/>
        </w:rPr>
        <w:t xml:space="preserve">данной </w:t>
      </w:r>
      <w:r w:rsidR="00EC1084">
        <w:rPr>
          <w:b/>
          <w:sz w:val="20"/>
          <w:szCs w:val="20"/>
        </w:rPr>
        <w:t>статье</w:t>
      </w:r>
      <w:r w:rsidR="002A1BC0">
        <w:rPr>
          <w:b/>
          <w:sz w:val="20"/>
          <w:szCs w:val="20"/>
        </w:rPr>
        <w:t xml:space="preserve"> проведён анализ динамики процентных ставок по банковским депозитам. На  основе анализа выявлена тенденция зависимости процентной ставки по банковским вкладам от </w:t>
      </w:r>
      <w:r w:rsidR="008B5A02">
        <w:rPr>
          <w:b/>
          <w:sz w:val="20"/>
          <w:szCs w:val="20"/>
        </w:rPr>
        <w:t>учётной</w:t>
      </w:r>
      <w:r w:rsidR="008B5A02" w:rsidRPr="008B5A02">
        <w:rPr>
          <w:b/>
          <w:sz w:val="20"/>
          <w:szCs w:val="20"/>
        </w:rPr>
        <w:t xml:space="preserve"> </w:t>
      </w:r>
      <w:r w:rsidR="002A1BC0">
        <w:rPr>
          <w:b/>
          <w:sz w:val="20"/>
          <w:szCs w:val="20"/>
        </w:rPr>
        <w:t>ставки Центрального Банка Российской Федерации за анализируемый период, сделаны соотве</w:t>
      </w:r>
      <w:r w:rsidR="006B1504">
        <w:rPr>
          <w:b/>
          <w:sz w:val="20"/>
          <w:szCs w:val="20"/>
        </w:rPr>
        <w:t xml:space="preserve">тствующие выводы. </w:t>
      </w:r>
      <w:r w:rsidR="006B1504" w:rsidRPr="006B1504">
        <w:rPr>
          <w:b/>
          <w:sz w:val="20"/>
          <w:szCs w:val="20"/>
        </w:rPr>
        <w:t>Рассмотрены основные понятия  и теоретические аспекты по теме исследования.  Изучен и проанализирован общий объем вложений, а также выявлены лидирующие банки Российской Федерации по объемам вкладов на депозитном рынке. Выявлены преимущества и недостатки банковских депозитов.</w:t>
      </w:r>
    </w:p>
    <w:p w:rsidR="008B5A02" w:rsidRPr="00954E65" w:rsidRDefault="008B5A02" w:rsidP="00A971D9">
      <w:pPr>
        <w:spacing w:line="264" w:lineRule="auto"/>
        <w:jc w:val="both"/>
        <w:rPr>
          <w:b/>
          <w:i/>
          <w:sz w:val="20"/>
          <w:szCs w:val="20"/>
        </w:rPr>
      </w:pPr>
    </w:p>
    <w:p w:rsidR="00A971D9" w:rsidRPr="00954E65" w:rsidRDefault="00A971D9" w:rsidP="00A971D9">
      <w:pPr>
        <w:spacing w:line="264" w:lineRule="auto"/>
        <w:jc w:val="both"/>
        <w:rPr>
          <w:sz w:val="20"/>
          <w:szCs w:val="20"/>
        </w:rPr>
      </w:pPr>
      <w:proofErr w:type="gramStart"/>
      <w:r w:rsidRPr="00954E65">
        <w:rPr>
          <w:b/>
          <w:i/>
          <w:sz w:val="20"/>
          <w:szCs w:val="20"/>
        </w:rPr>
        <w:t>Ключевые слова –</w:t>
      </w:r>
      <w:r w:rsidRPr="00954E65">
        <w:rPr>
          <w:b/>
          <w:sz w:val="20"/>
          <w:szCs w:val="20"/>
        </w:rPr>
        <w:t xml:space="preserve"> </w:t>
      </w:r>
      <w:r w:rsidR="00EC1084">
        <w:rPr>
          <w:b/>
          <w:sz w:val="20"/>
          <w:szCs w:val="20"/>
        </w:rPr>
        <w:t xml:space="preserve">инвестиции, банковский депозит, процентная ставка, </w:t>
      </w:r>
      <w:r w:rsidR="000C408D">
        <w:rPr>
          <w:b/>
          <w:sz w:val="20"/>
          <w:szCs w:val="20"/>
        </w:rPr>
        <w:t xml:space="preserve"> ставка рефинансирования, </w:t>
      </w:r>
      <w:r w:rsidR="00EC1084">
        <w:rPr>
          <w:b/>
          <w:sz w:val="20"/>
          <w:szCs w:val="20"/>
        </w:rPr>
        <w:t>риски, доходы</w:t>
      </w:r>
      <w:r w:rsidR="000C408D">
        <w:rPr>
          <w:b/>
          <w:sz w:val="20"/>
          <w:szCs w:val="20"/>
        </w:rPr>
        <w:t>, Банк России</w:t>
      </w:r>
      <w:r w:rsidR="00EC1084">
        <w:rPr>
          <w:b/>
          <w:sz w:val="20"/>
          <w:szCs w:val="20"/>
        </w:rPr>
        <w:t>.</w:t>
      </w:r>
      <w:proofErr w:type="gramEnd"/>
    </w:p>
    <w:p w:rsidR="00A971D9" w:rsidRDefault="00A971D9" w:rsidP="008E137D">
      <w:pPr>
        <w:pStyle w:val="a3"/>
        <w:numPr>
          <w:ilvl w:val="0"/>
          <w:numId w:val="1"/>
        </w:numPr>
        <w:spacing w:before="240" w:after="120" w:line="22" w:lineRule="atLeast"/>
        <w:jc w:val="center"/>
        <w:rPr>
          <w:smallCaps/>
          <w:color w:val="000000"/>
          <w:sz w:val="20"/>
          <w:szCs w:val="20"/>
        </w:rPr>
      </w:pPr>
      <w:proofErr w:type="spellStart"/>
      <w:r w:rsidRPr="00C04D72">
        <w:rPr>
          <w:smallCaps/>
          <w:color w:val="000000"/>
          <w:sz w:val="20"/>
          <w:szCs w:val="20"/>
          <w:lang w:val="en-US"/>
        </w:rPr>
        <w:t>Введение</w:t>
      </w:r>
      <w:proofErr w:type="spellEnd"/>
    </w:p>
    <w:p w:rsidR="002A1BC0" w:rsidRPr="002A1BC0" w:rsidRDefault="002A1BC0" w:rsidP="008E137D">
      <w:pPr>
        <w:spacing w:line="22" w:lineRule="atLeast"/>
        <w:ind w:firstLine="284"/>
        <w:jc w:val="both"/>
        <w:rPr>
          <w:sz w:val="20"/>
        </w:rPr>
      </w:pPr>
      <w:r w:rsidRPr="00B05A3C">
        <w:rPr>
          <w:sz w:val="20"/>
        </w:rPr>
        <w:t>На протяжении долгого периода времени человек заботился о правильном и рациональном использовании собственных средств, а так же их максимизации. Одним из способов увеличения собственных активов является инвестирование</w:t>
      </w:r>
      <w:r w:rsidR="002932A2">
        <w:rPr>
          <w:sz w:val="20"/>
        </w:rPr>
        <w:t xml:space="preserve">. </w:t>
      </w:r>
      <w:r w:rsidRPr="002A1BC0">
        <w:rPr>
          <w:sz w:val="20"/>
        </w:rPr>
        <w:t>Давно установлено, что ин</w:t>
      </w:r>
      <w:r w:rsidR="002932A2">
        <w:rPr>
          <w:sz w:val="20"/>
        </w:rPr>
        <w:t>вестирование в депозиты банков –</w:t>
      </w:r>
      <w:r w:rsidRPr="002A1BC0">
        <w:rPr>
          <w:sz w:val="20"/>
        </w:rPr>
        <w:t xml:space="preserve"> самый популярный способ инвестирования, как в Ро</w:t>
      </w:r>
      <w:r>
        <w:rPr>
          <w:sz w:val="20"/>
        </w:rPr>
        <w:t>с</w:t>
      </w:r>
      <w:r w:rsidRPr="002A1BC0">
        <w:rPr>
          <w:sz w:val="20"/>
        </w:rPr>
        <w:t>сии, так</w:t>
      </w:r>
      <w:r>
        <w:rPr>
          <w:sz w:val="20"/>
        </w:rPr>
        <w:t xml:space="preserve"> </w:t>
      </w:r>
      <w:r w:rsidRPr="002A1BC0">
        <w:rPr>
          <w:sz w:val="20"/>
        </w:rPr>
        <w:t xml:space="preserve"> и в других странах</w:t>
      </w:r>
      <w:r w:rsidR="002932A2">
        <w:rPr>
          <w:sz w:val="20"/>
        </w:rPr>
        <w:t xml:space="preserve">. </w:t>
      </w:r>
      <w:r w:rsidRPr="002A1BC0">
        <w:rPr>
          <w:sz w:val="20"/>
        </w:rPr>
        <w:t xml:space="preserve">При этом очевидно, что привлекательность этого инвестирования непосредственно зависит от </w:t>
      </w:r>
      <w:r>
        <w:rPr>
          <w:sz w:val="20"/>
        </w:rPr>
        <w:t xml:space="preserve">процентных ставок по депозитам. </w:t>
      </w:r>
      <w:r w:rsidRPr="002A1BC0">
        <w:rPr>
          <w:sz w:val="20"/>
        </w:rPr>
        <w:t>Ставки по депозитам определяются банками самостоятельно, однако оче</w:t>
      </w:r>
      <w:r>
        <w:rPr>
          <w:sz w:val="20"/>
        </w:rPr>
        <w:t>ви</w:t>
      </w:r>
      <w:r w:rsidRPr="002A1BC0">
        <w:rPr>
          <w:sz w:val="20"/>
        </w:rPr>
        <w:t>дно, что на них оказывает влияние не только внутренняя политика банка, но и</w:t>
      </w:r>
      <w:r w:rsidR="002932A2">
        <w:rPr>
          <w:sz w:val="20"/>
        </w:rPr>
        <w:t xml:space="preserve"> некоторые </w:t>
      </w:r>
      <w:r w:rsidRPr="002A1BC0">
        <w:rPr>
          <w:sz w:val="20"/>
        </w:rPr>
        <w:t xml:space="preserve"> внешние факторы</w:t>
      </w:r>
      <w:r>
        <w:rPr>
          <w:sz w:val="20"/>
        </w:rPr>
        <w:t xml:space="preserve">. Один из этих факторов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 w:rsidR="002932A2">
        <w:rPr>
          <w:sz w:val="20"/>
        </w:rPr>
        <w:t>– учетная ставка ЦБ РФ. Учётная ставка ЦБ РФ, в свою очередь, один из важнейших показателей на финансовом рынке: она определяет стоимость денег в экономике в целом, и оказывает влияние на многие финансовые показатели.</w:t>
      </w:r>
    </w:p>
    <w:p w:rsidR="002932A2" w:rsidRPr="00A54CEB" w:rsidRDefault="002A1BC0" w:rsidP="002932A2">
      <w:pPr>
        <w:ind w:firstLine="360"/>
        <w:jc w:val="both"/>
        <w:rPr>
          <w:sz w:val="20"/>
        </w:rPr>
      </w:pPr>
      <w:r w:rsidRPr="002A1BC0">
        <w:rPr>
          <w:sz w:val="20"/>
        </w:rPr>
        <w:t>Цель данной статьи - оценить динамику ставок и</w:t>
      </w:r>
      <w:r w:rsidR="002932A2">
        <w:rPr>
          <w:sz w:val="20"/>
        </w:rPr>
        <w:t xml:space="preserve"> сделать вывод о зависимости процентных ставок по банковским вкладам от учётной ставки Банка России. При написании статьи была изучена и проанализирована специальная литература по данной теме, таких авторов, как Артамонов А.В, Мальцева Ю.Н, </w:t>
      </w:r>
      <w:r w:rsidR="002932A2" w:rsidRPr="00971AFD">
        <w:rPr>
          <w:sz w:val="20"/>
          <w:szCs w:val="20"/>
        </w:rPr>
        <w:t>Гусев А</w:t>
      </w:r>
      <w:r w:rsidR="002932A2">
        <w:rPr>
          <w:sz w:val="20"/>
          <w:szCs w:val="20"/>
        </w:rPr>
        <w:t>, Матраева Л.</w:t>
      </w:r>
      <w:proofErr w:type="gramStart"/>
      <w:r w:rsidR="002932A2">
        <w:rPr>
          <w:sz w:val="20"/>
          <w:szCs w:val="20"/>
        </w:rPr>
        <w:t>В</w:t>
      </w:r>
      <w:proofErr w:type="gramEnd"/>
      <w:r w:rsidR="002932A2">
        <w:rPr>
          <w:sz w:val="20"/>
        </w:rPr>
        <w:t xml:space="preserve"> и др.</w:t>
      </w:r>
    </w:p>
    <w:p w:rsidR="008E137D" w:rsidRDefault="007E1649" w:rsidP="008E137D">
      <w:pPr>
        <w:pStyle w:val="a3"/>
        <w:numPr>
          <w:ilvl w:val="0"/>
          <w:numId w:val="1"/>
        </w:numPr>
        <w:spacing w:before="240" w:after="120" w:line="22" w:lineRule="atLeast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Задачи</w:t>
      </w:r>
      <w:r w:rsidR="002B43B9">
        <w:rPr>
          <w:smallCaps/>
          <w:color w:val="000000"/>
          <w:sz w:val="20"/>
          <w:szCs w:val="20"/>
        </w:rPr>
        <w:t xml:space="preserve"> </w:t>
      </w:r>
    </w:p>
    <w:p w:rsidR="008E137D" w:rsidRPr="008E137D" w:rsidRDefault="008E137D" w:rsidP="008E137D">
      <w:pPr>
        <w:pStyle w:val="a3"/>
        <w:spacing w:before="240" w:after="120" w:line="22" w:lineRule="atLeast"/>
        <w:ind w:left="1080"/>
        <w:rPr>
          <w:smallCaps/>
          <w:color w:val="000000"/>
          <w:sz w:val="20"/>
          <w:szCs w:val="20"/>
        </w:rPr>
      </w:pPr>
    </w:p>
    <w:p w:rsidR="003E29A2" w:rsidRDefault="008E137D" w:rsidP="008E137D">
      <w:pPr>
        <w:pStyle w:val="a3"/>
        <w:numPr>
          <w:ilvl w:val="0"/>
          <w:numId w:val="16"/>
        </w:numPr>
        <w:spacing w:line="22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Провести сбор информации о процентных ставках по вкладам коммерческих банков России и о ставке рефинансирования ЦБ РФ;</w:t>
      </w:r>
    </w:p>
    <w:p w:rsidR="00D52E3F" w:rsidRDefault="00D52E3F" w:rsidP="00D52E3F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Проанализировать процентные ставки коммерческих банков по вкладам и учетную ставку, за выбранный период;</w:t>
      </w:r>
    </w:p>
    <w:p w:rsidR="00D52E3F" w:rsidRDefault="00D52E3F" w:rsidP="00D52E3F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Выявить</w:t>
      </w:r>
      <w:r w:rsidR="008E137D">
        <w:rPr>
          <w:sz w:val="20"/>
          <w:szCs w:val="20"/>
        </w:rPr>
        <w:t xml:space="preserve"> и оценить</w:t>
      </w:r>
      <w:r>
        <w:rPr>
          <w:sz w:val="20"/>
          <w:szCs w:val="20"/>
        </w:rPr>
        <w:t xml:space="preserve"> </w:t>
      </w:r>
      <w:r w:rsidR="008E137D">
        <w:rPr>
          <w:sz w:val="20"/>
          <w:szCs w:val="20"/>
        </w:rPr>
        <w:t>наличие связи</w:t>
      </w:r>
      <w:r>
        <w:rPr>
          <w:sz w:val="20"/>
          <w:szCs w:val="20"/>
        </w:rPr>
        <w:t xml:space="preserve"> процентной ставки по вкладам от учетной ставки Банка России;</w:t>
      </w:r>
    </w:p>
    <w:p w:rsidR="00D52E3F" w:rsidRPr="00D52E3F" w:rsidRDefault="00D52E3F" w:rsidP="00D52E3F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Сделать выводы по проанализированному материалу.</w:t>
      </w:r>
    </w:p>
    <w:p w:rsidR="00D52E3F" w:rsidRPr="002B43B9" w:rsidRDefault="00D52E3F" w:rsidP="009811D0">
      <w:pPr>
        <w:ind w:firstLine="284"/>
        <w:jc w:val="center"/>
        <w:rPr>
          <w:sz w:val="20"/>
          <w:szCs w:val="20"/>
        </w:rPr>
      </w:pPr>
    </w:p>
    <w:p w:rsidR="007E1649" w:rsidRDefault="007E1649" w:rsidP="007E1649">
      <w:pPr>
        <w:pStyle w:val="a3"/>
        <w:numPr>
          <w:ilvl w:val="0"/>
          <w:numId w:val="1"/>
        </w:num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 xml:space="preserve">Теория </w:t>
      </w:r>
    </w:p>
    <w:p w:rsidR="009B65BD" w:rsidRDefault="009B65BD" w:rsidP="009B65BD">
      <w:pPr>
        <w:ind w:firstLine="284"/>
        <w:jc w:val="both"/>
        <w:rPr>
          <w:color w:val="000000" w:themeColor="text1"/>
          <w:sz w:val="20"/>
          <w:szCs w:val="20"/>
        </w:rPr>
      </w:pPr>
      <w:r w:rsidRPr="009B65BD">
        <w:rPr>
          <w:color w:val="000000" w:themeColor="text1"/>
          <w:sz w:val="20"/>
          <w:szCs w:val="20"/>
        </w:rPr>
        <w:t xml:space="preserve">Самым популярным направлением вложений, в небольших объёмах являются банковские депозиты. Они просты в использовании, имеют низкую степень </w:t>
      </w:r>
      <w:proofErr w:type="gramStart"/>
      <w:r w:rsidRPr="009B65BD">
        <w:rPr>
          <w:color w:val="000000" w:themeColor="text1"/>
          <w:sz w:val="20"/>
          <w:szCs w:val="20"/>
        </w:rPr>
        <w:t>риска</w:t>
      </w:r>
      <w:proofErr w:type="gramEnd"/>
      <w:r w:rsidRPr="009B65BD">
        <w:rPr>
          <w:color w:val="000000" w:themeColor="text1"/>
          <w:sz w:val="20"/>
          <w:szCs w:val="20"/>
        </w:rPr>
        <w:t xml:space="preserve"> и рынок предоставляет широкий выбор программных предложений. Для вкладчика самым трудным является выбор коммерческого банка, где бы был высокий процентный доход в соотношении со сроком вложения.</w:t>
      </w:r>
      <w:r w:rsidR="002D2468">
        <w:rPr>
          <w:color w:val="000000" w:themeColor="text1"/>
          <w:sz w:val="20"/>
          <w:szCs w:val="20"/>
        </w:rPr>
        <w:t xml:space="preserve"> </w:t>
      </w:r>
    </w:p>
    <w:p w:rsidR="002D2468" w:rsidRPr="002D2468" w:rsidRDefault="002D2468" w:rsidP="002D2468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Стоит отметить, что общий объем депозитной массы, по данным Росстата, составляет 24,12 трлн. руб. Наибольшую долю занимают вклады, лидирующего банка страны – Сбербанка </w:t>
      </w:r>
      <w:proofErr w:type="gramStart"/>
      <w:r>
        <w:rPr>
          <w:color w:val="000000"/>
          <w:sz w:val="20"/>
          <w:szCs w:val="20"/>
        </w:rPr>
        <w:t xml:space="preserve">( </w:t>
      </w:r>
      <w:proofErr w:type="gramEnd"/>
      <w:r>
        <w:rPr>
          <w:color w:val="000000"/>
          <w:sz w:val="20"/>
          <w:szCs w:val="20"/>
        </w:rPr>
        <w:t xml:space="preserve">47% или 10,9 трлн. руб. от общей суммы вкладов), далее располагается ВТБ 24 (8,7% или 2 трлн. руб.). Следующие места разделяют Альфа-Банк, Газпромбанк, </w:t>
      </w:r>
      <w:proofErr w:type="spellStart"/>
      <w:r>
        <w:rPr>
          <w:color w:val="000000"/>
          <w:sz w:val="20"/>
          <w:szCs w:val="20"/>
        </w:rPr>
        <w:t>Россельхозбанк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Бинбанк</w:t>
      </w:r>
      <w:proofErr w:type="spellEnd"/>
      <w:r>
        <w:rPr>
          <w:color w:val="000000"/>
          <w:sz w:val="20"/>
          <w:szCs w:val="20"/>
        </w:rPr>
        <w:t xml:space="preserve">, ВТБ Банк Москвы и ФК Открытие на каждый из них приходится, примерно, по 2 %. Промсвязьбанк и </w:t>
      </w:r>
      <w:proofErr w:type="spellStart"/>
      <w:r>
        <w:rPr>
          <w:color w:val="000000"/>
          <w:sz w:val="20"/>
          <w:szCs w:val="20"/>
        </w:rPr>
        <w:t>Райфайзенбанк</w:t>
      </w:r>
      <w:proofErr w:type="spellEnd"/>
      <w:r>
        <w:rPr>
          <w:color w:val="000000"/>
          <w:sz w:val="20"/>
          <w:szCs w:val="20"/>
        </w:rPr>
        <w:t xml:space="preserve"> по 1,5% на каждый. </w:t>
      </w:r>
      <w:r w:rsidRPr="002D2468">
        <w:rPr>
          <w:color w:val="000000"/>
          <w:sz w:val="20"/>
          <w:szCs w:val="20"/>
        </w:rPr>
        <w:t>[</w:t>
      </w:r>
      <w:r w:rsidR="008D49BF">
        <w:rPr>
          <w:color w:val="000000"/>
          <w:sz w:val="20"/>
          <w:szCs w:val="20"/>
        </w:rPr>
        <w:t>8</w:t>
      </w:r>
      <w:r w:rsidRPr="002D2468">
        <w:rPr>
          <w:color w:val="000000"/>
          <w:sz w:val="20"/>
          <w:szCs w:val="20"/>
        </w:rPr>
        <w:t>]</w:t>
      </w:r>
    </w:p>
    <w:p w:rsidR="00913FE7" w:rsidRPr="00913FE7" w:rsidRDefault="008B5A02" w:rsidP="008B5A02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Как уже указывалось ранее, целью работы является оценка связи депозитных процентных ставок коммерческих банков с уровнем учетной ставки Банка России.</w:t>
      </w:r>
      <w:r>
        <w:rPr>
          <w:color w:val="000000" w:themeColor="text1"/>
          <w:sz w:val="20"/>
          <w:szCs w:val="20"/>
        </w:rPr>
        <w:t xml:space="preserve"> </w:t>
      </w:r>
      <w:r w:rsidR="000F55E4">
        <w:rPr>
          <w:color w:val="000000" w:themeColor="text1"/>
          <w:sz w:val="20"/>
          <w:szCs w:val="20"/>
        </w:rPr>
        <w:t xml:space="preserve">Согласно Федеральному Закону </w:t>
      </w:r>
      <w:r w:rsidR="000F55E4" w:rsidRPr="000F55E4">
        <w:rPr>
          <w:color w:val="000000" w:themeColor="text1"/>
          <w:sz w:val="20"/>
          <w:szCs w:val="20"/>
        </w:rPr>
        <w:t xml:space="preserve">от 10.07.2002 N </w:t>
      </w:r>
      <w:r w:rsidR="000F55E4" w:rsidRPr="000F55E4">
        <w:rPr>
          <w:color w:val="000000" w:themeColor="text1"/>
          <w:sz w:val="20"/>
          <w:szCs w:val="20"/>
        </w:rPr>
        <w:lastRenderedPageBreak/>
        <w:t xml:space="preserve">86-ФЗ (ред. от 18.07.2017) "О Центральном банке Российской Федерации (Банке России)" </w:t>
      </w:r>
      <w:r w:rsidR="000F55E4">
        <w:rPr>
          <w:color w:val="000000" w:themeColor="text1"/>
          <w:sz w:val="20"/>
          <w:szCs w:val="20"/>
        </w:rPr>
        <w:t>п</w:t>
      </w:r>
      <w:r w:rsidR="002D2468" w:rsidRPr="002D2468">
        <w:rPr>
          <w:color w:val="000000" w:themeColor="text1"/>
          <w:sz w:val="20"/>
          <w:szCs w:val="20"/>
        </w:rPr>
        <w:t xml:space="preserve">роцентная ставка рефинансирования (учетная ставка) - ставка процента при предоставлении Центральным банком кредитов коммерческим банкам. </w:t>
      </w:r>
      <w:r w:rsidR="000F55E4" w:rsidRPr="000F55E4">
        <w:rPr>
          <w:color w:val="000000" w:themeColor="text1"/>
          <w:sz w:val="20"/>
          <w:szCs w:val="20"/>
        </w:rPr>
        <w:t>Формы, порядок и условия рефинансирования устанавливаются Банком России.</w:t>
      </w:r>
      <w:r w:rsidR="000F55E4">
        <w:rPr>
          <w:color w:val="000000" w:themeColor="text1"/>
          <w:sz w:val="20"/>
          <w:szCs w:val="20"/>
        </w:rPr>
        <w:t xml:space="preserve"> </w:t>
      </w:r>
      <w:r w:rsidR="002D2468" w:rsidRPr="002D2468">
        <w:rPr>
          <w:color w:val="000000" w:themeColor="text1"/>
          <w:sz w:val="20"/>
          <w:szCs w:val="20"/>
        </w:rPr>
        <w:t>Б</w:t>
      </w:r>
      <w:r w:rsidR="002D2468">
        <w:rPr>
          <w:color w:val="000000" w:themeColor="text1"/>
          <w:sz w:val="20"/>
          <w:szCs w:val="20"/>
        </w:rPr>
        <w:t>ыла введена 1 января 1992 года.</w:t>
      </w:r>
      <w:r w:rsidR="00513E3C">
        <w:rPr>
          <w:color w:val="000000" w:themeColor="text1"/>
          <w:sz w:val="20"/>
          <w:szCs w:val="20"/>
        </w:rPr>
        <w:t xml:space="preserve"> </w:t>
      </w:r>
      <w:r w:rsidR="00913FE7" w:rsidRPr="00513E3C">
        <w:rPr>
          <w:sz w:val="20"/>
          <w:szCs w:val="20"/>
        </w:rPr>
        <w:t>[</w:t>
      </w:r>
      <w:r w:rsidR="00513E3C" w:rsidRPr="00513E3C">
        <w:rPr>
          <w:sz w:val="20"/>
          <w:szCs w:val="20"/>
        </w:rPr>
        <w:t>9</w:t>
      </w:r>
      <w:r w:rsidR="00913FE7" w:rsidRPr="00513E3C">
        <w:rPr>
          <w:sz w:val="20"/>
          <w:szCs w:val="20"/>
        </w:rPr>
        <w:t>]</w:t>
      </w:r>
      <w:r w:rsidR="002D2468">
        <w:rPr>
          <w:color w:val="000000" w:themeColor="text1"/>
          <w:sz w:val="20"/>
          <w:szCs w:val="20"/>
        </w:rPr>
        <w:t xml:space="preserve"> </w:t>
      </w:r>
      <w:r w:rsidR="00F46D4F">
        <w:rPr>
          <w:color w:val="000000" w:themeColor="text1"/>
          <w:sz w:val="20"/>
          <w:szCs w:val="20"/>
        </w:rPr>
        <w:t xml:space="preserve">Учётная ставка – это, прежде всего, инструмент для регулирования экономики страны. Снижение учётной ставки приводит к стимулированию экономики. Происходит это следующим образом: сначала займы становятся дешевле для коммерческих банков, затем для крупных предприятий и корпораций, </w:t>
      </w:r>
      <w:proofErr w:type="gramStart"/>
      <w:r w:rsidR="00F46D4F">
        <w:rPr>
          <w:color w:val="000000" w:themeColor="text1"/>
          <w:sz w:val="20"/>
          <w:szCs w:val="20"/>
        </w:rPr>
        <w:t>и</w:t>
      </w:r>
      <w:proofErr w:type="gramEnd"/>
      <w:r w:rsidR="00F46D4F">
        <w:rPr>
          <w:color w:val="000000" w:themeColor="text1"/>
          <w:sz w:val="20"/>
          <w:szCs w:val="20"/>
        </w:rPr>
        <w:t xml:space="preserve"> в конечном счёте для потребителей - физических лиц.  Растет спрос на товары и услуги, вследствие чего наблюдается экономический рост.</w:t>
      </w:r>
      <w:r w:rsidR="00913FE7" w:rsidRPr="00913FE7">
        <w:rPr>
          <w:color w:val="000000" w:themeColor="text1"/>
          <w:sz w:val="20"/>
          <w:szCs w:val="20"/>
        </w:rPr>
        <w:t xml:space="preserve"> </w:t>
      </w:r>
      <w:r w:rsidR="00913FE7">
        <w:rPr>
          <w:color w:val="000000" w:themeColor="text1"/>
          <w:sz w:val="20"/>
          <w:szCs w:val="20"/>
        </w:rPr>
        <w:t xml:space="preserve">Но не секрет, что мировая экономика циклична, и на определённом этапе экономического подъёма может произойти перенасыщение рынка. </w:t>
      </w:r>
      <w:r w:rsidR="00913FE7" w:rsidRPr="00913FE7">
        <w:rPr>
          <w:color w:val="222222"/>
          <w:sz w:val="20"/>
        </w:rPr>
        <w:t xml:space="preserve">Во избежание обвалов и падений экономики, контролирующие органы предпринимают меры сглаживания циклических колебаний. И главная из них – поднятия ставки рефинансирования, тем самым затормаживая экономические  процессы. </w:t>
      </w:r>
      <w:r w:rsidR="00913FE7">
        <w:rPr>
          <w:color w:val="222222"/>
          <w:sz w:val="20"/>
        </w:rPr>
        <w:t xml:space="preserve">В этом случае происходит всё с точностью наоборот: объём кредитов, из-за их подорожания, становиться меньше, соответственно компании и предприятия берут в долг меньше, уменьшается доля потребительского кредитования. </w:t>
      </w:r>
      <w:r w:rsidR="000F55E4">
        <w:rPr>
          <w:color w:val="222222"/>
          <w:sz w:val="20"/>
        </w:rPr>
        <w:t>Экономика затормаживается.</w:t>
      </w:r>
    </w:p>
    <w:p w:rsidR="002D2468" w:rsidRDefault="00F46D4F" w:rsidP="000F55E4">
      <w:pPr>
        <w:ind w:firstLine="284"/>
        <w:jc w:val="both"/>
        <w:rPr>
          <w:color w:val="000000" w:themeColor="text1"/>
          <w:sz w:val="20"/>
          <w:szCs w:val="20"/>
        </w:rPr>
      </w:pPr>
      <w:r w:rsidRPr="00F46D4F">
        <w:rPr>
          <w:color w:val="000000" w:themeColor="text1"/>
          <w:sz w:val="20"/>
          <w:szCs w:val="20"/>
        </w:rPr>
        <w:t>С 1 января 2016 года значение ставки рефинансирования Банка России приравнивается к значению ключевой ставки Банка России, определенному на соответствующую дату.</w:t>
      </w:r>
      <w:r>
        <w:rPr>
          <w:color w:val="000000" w:themeColor="text1"/>
          <w:sz w:val="20"/>
          <w:szCs w:val="20"/>
        </w:rPr>
        <w:t xml:space="preserve"> </w:t>
      </w:r>
      <w:r w:rsidRPr="00F46D4F">
        <w:rPr>
          <w:color w:val="000000" w:themeColor="text1"/>
          <w:sz w:val="20"/>
          <w:szCs w:val="20"/>
        </w:rPr>
        <w:t>Ключевая ставка - процентная ставка по основным операциям Банка России по регулированию ликвидности банковского сектора. Является основным индикатором денежно-кредитной политики. Была введена Банком России 13 сентября 2013 года</w:t>
      </w:r>
      <w:r w:rsidR="00513E3C">
        <w:rPr>
          <w:color w:val="000000" w:themeColor="text1"/>
          <w:sz w:val="20"/>
          <w:szCs w:val="20"/>
        </w:rPr>
        <w:t xml:space="preserve">.  </w:t>
      </w:r>
      <w:r w:rsidR="00513E3C" w:rsidRPr="00513E3C">
        <w:rPr>
          <w:sz w:val="20"/>
          <w:szCs w:val="20"/>
        </w:rPr>
        <w:t>[</w:t>
      </w:r>
      <w:r w:rsidR="008D49BF">
        <w:rPr>
          <w:sz w:val="20"/>
          <w:szCs w:val="20"/>
        </w:rPr>
        <w:t>10</w:t>
      </w:r>
      <w:r w:rsidR="00513E3C" w:rsidRPr="00513E3C">
        <w:rPr>
          <w:sz w:val="20"/>
          <w:szCs w:val="20"/>
        </w:rPr>
        <w:t>]</w:t>
      </w:r>
    </w:p>
    <w:p w:rsidR="009B65BD" w:rsidRDefault="001D2F6C" w:rsidP="001D2F6C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Pr="001D2F6C">
        <w:rPr>
          <w:color w:val="000000" w:themeColor="text1"/>
          <w:sz w:val="20"/>
          <w:szCs w:val="20"/>
        </w:rPr>
        <w:t>Через изменени</w:t>
      </w:r>
      <w:r w:rsidR="008B5A02">
        <w:rPr>
          <w:color w:val="000000" w:themeColor="text1"/>
          <w:sz w:val="20"/>
          <w:szCs w:val="20"/>
        </w:rPr>
        <w:t>е</w:t>
      </w:r>
      <w:r w:rsidRPr="001D2F6C">
        <w:rPr>
          <w:color w:val="000000" w:themeColor="text1"/>
          <w:sz w:val="20"/>
          <w:szCs w:val="20"/>
        </w:rPr>
        <w:t xml:space="preserve"> </w:t>
      </w:r>
      <w:r w:rsidR="000F55E4">
        <w:rPr>
          <w:color w:val="000000" w:themeColor="text1"/>
          <w:sz w:val="20"/>
          <w:szCs w:val="20"/>
        </w:rPr>
        <w:t xml:space="preserve">ключевой ставки </w:t>
      </w:r>
      <w:r w:rsidRPr="001D2F6C">
        <w:rPr>
          <w:color w:val="000000" w:themeColor="text1"/>
          <w:sz w:val="20"/>
          <w:szCs w:val="20"/>
        </w:rPr>
        <w:t xml:space="preserve"> Центробанк регулирует объемы денежной массы. </w:t>
      </w:r>
      <w:r w:rsidR="00472B88" w:rsidRPr="00D93A8F">
        <w:rPr>
          <w:color w:val="000000" w:themeColor="text1"/>
          <w:sz w:val="20"/>
          <w:szCs w:val="20"/>
        </w:rPr>
        <w:t>[</w:t>
      </w:r>
      <w:r w:rsidR="008D49BF">
        <w:rPr>
          <w:color w:val="000000" w:themeColor="text1"/>
          <w:sz w:val="20"/>
          <w:szCs w:val="20"/>
        </w:rPr>
        <w:t>2</w:t>
      </w:r>
      <w:r w:rsidR="00472B88" w:rsidRPr="00D93A8F">
        <w:rPr>
          <w:color w:val="000000" w:themeColor="text1"/>
          <w:sz w:val="20"/>
          <w:szCs w:val="20"/>
        </w:rPr>
        <w:t xml:space="preserve">] </w:t>
      </w:r>
      <w:r w:rsidRPr="001D2F6C">
        <w:rPr>
          <w:color w:val="000000" w:themeColor="text1"/>
          <w:sz w:val="20"/>
          <w:szCs w:val="20"/>
        </w:rPr>
        <w:t>То есть это важный для страны финансовый регулятор.</w:t>
      </w:r>
      <w:r>
        <w:rPr>
          <w:color w:val="000000" w:themeColor="text1"/>
          <w:sz w:val="20"/>
          <w:szCs w:val="20"/>
        </w:rPr>
        <w:t xml:space="preserve"> </w:t>
      </w:r>
      <w:r w:rsidR="009B65BD">
        <w:rPr>
          <w:color w:val="000000" w:themeColor="text1"/>
          <w:sz w:val="20"/>
          <w:szCs w:val="20"/>
        </w:rPr>
        <w:t xml:space="preserve"> Несмотря на то, что государство и Банк России законодательно не оказывают прямого влияния на размер ставок по вкладам, влияние может быть косвенным. </w:t>
      </w:r>
      <w:r>
        <w:rPr>
          <w:color w:val="000000" w:themeColor="text1"/>
          <w:sz w:val="20"/>
          <w:szCs w:val="20"/>
        </w:rPr>
        <w:t>Косвенное влияние,</w:t>
      </w:r>
      <w:r w:rsidR="009B65BD">
        <w:rPr>
          <w:color w:val="000000" w:themeColor="text1"/>
          <w:sz w:val="20"/>
          <w:szCs w:val="20"/>
        </w:rPr>
        <w:t xml:space="preserve"> </w:t>
      </w:r>
      <w:r w:rsidR="000F55E4">
        <w:rPr>
          <w:color w:val="000000" w:themeColor="text1"/>
          <w:sz w:val="20"/>
          <w:szCs w:val="20"/>
        </w:rPr>
        <w:t>оказывается,</w:t>
      </w:r>
      <w:r w:rsidR="009B65BD">
        <w:rPr>
          <w:color w:val="000000" w:themeColor="text1"/>
          <w:sz w:val="20"/>
          <w:szCs w:val="20"/>
        </w:rPr>
        <w:t xml:space="preserve"> через изменения учетной ставки (ставки рефинансирования) ЦБ РФ</w:t>
      </w:r>
      <w:r>
        <w:rPr>
          <w:color w:val="000000" w:themeColor="text1"/>
          <w:sz w:val="20"/>
          <w:szCs w:val="20"/>
        </w:rPr>
        <w:t xml:space="preserve">. От учетной ставки зависит кредитование коммерческих банков Банком России, </w:t>
      </w:r>
      <w:r w:rsidR="000F55E4">
        <w:rPr>
          <w:color w:val="000000" w:themeColor="text1"/>
          <w:sz w:val="20"/>
          <w:szCs w:val="20"/>
        </w:rPr>
        <w:t>вследствие</w:t>
      </w:r>
      <w:r>
        <w:rPr>
          <w:color w:val="000000" w:themeColor="text1"/>
          <w:sz w:val="20"/>
          <w:szCs w:val="20"/>
        </w:rPr>
        <w:t xml:space="preserve"> чего от нее зависят проценты по кредитам, а, соответственно, депозитам. При увеличении ставки рефинансирования дорожают кредиты коммерческих банков. Ставки по депозитам имеют обратную зависимость от учетной ставки.</w:t>
      </w:r>
    </w:p>
    <w:p w:rsidR="000F55E4" w:rsidRDefault="000F55E4" w:rsidP="001D2F6C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 свою очередь,</w:t>
      </w:r>
      <w:r w:rsidR="00513E3C">
        <w:rPr>
          <w:color w:val="000000" w:themeColor="text1"/>
          <w:sz w:val="20"/>
          <w:szCs w:val="20"/>
        </w:rPr>
        <w:t xml:space="preserve"> процентные ставки по депозитам – это </w:t>
      </w:r>
      <w:r w:rsidR="00513E3C" w:rsidRPr="00513E3C">
        <w:rPr>
          <w:color w:val="000000" w:themeColor="text1"/>
          <w:sz w:val="20"/>
          <w:szCs w:val="20"/>
        </w:rPr>
        <w:t>процент, уплачиваемый банками клиентам за использование денег, размещенных на депозитн</w:t>
      </w:r>
      <w:r w:rsidR="00513E3C">
        <w:rPr>
          <w:color w:val="000000" w:themeColor="text1"/>
          <w:sz w:val="20"/>
          <w:szCs w:val="20"/>
        </w:rPr>
        <w:t>ых</w:t>
      </w:r>
      <w:r w:rsidR="00513E3C" w:rsidRPr="00513E3C">
        <w:rPr>
          <w:color w:val="000000" w:themeColor="text1"/>
          <w:sz w:val="20"/>
          <w:szCs w:val="20"/>
        </w:rPr>
        <w:t xml:space="preserve"> счет</w:t>
      </w:r>
      <w:r w:rsidR="00513E3C">
        <w:rPr>
          <w:color w:val="000000" w:themeColor="text1"/>
          <w:sz w:val="20"/>
          <w:szCs w:val="20"/>
        </w:rPr>
        <w:t>ах</w:t>
      </w:r>
      <w:r w:rsidR="00513E3C" w:rsidRPr="00513E3C">
        <w:rPr>
          <w:color w:val="000000" w:themeColor="text1"/>
          <w:sz w:val="20"/>
          <w:szCs w:val="20"/>
        </w:rPr>
        <w:t>.</w:t>
      </w:r>
      <w:r w:rsidR="00513E3C">
        <w:rPr>
          <w:color w:val="000000" w:themeColor="text1"/>
          <w:sz w:val="20"/>
          <w:szCs w:val="20"/>
        </w:rPr>
        <w:t xml:space="preserve"> Устанавливается коммерческими банками самостоятельно.</w:t>
      </w:r>
      <w:r w:rsidR="003F3EAD">
        <w:rPr>
          <w:color w:val="000000" w:themeColor="text1"/>
          <w:sz w:val="20"/>
          <w:szCs w:val="20"/>
        </w:rPr>
        <w:t xml:space="preserve"> Процентные ставки по депозитам зависят от нескольких факторов, которые условно можно разделить на 2 группы</w:t>
      </w:r>
      <w:proofErr w:type="gramStart"/>
      <w:r w:rsidR="003F3EAD">
        <w:rPr>
          <w:color w:val="000000" w:themeColor="text1"/>
          <w:sz w:val="20"/>
          <w:szCs w:val="20"/>
        </w:rPr>
        <w:t xml:space="preserve"> :</w:t>
      </w:r>
      <w:proofErr w:type="gramEnd"/>
    </w:p>
    <w:p w:rsidR="003F3EAD" w:rsidRDefault="003F3EAD" w:rsidP="001D2F6C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1) Внутренние (внутрибанковские факторы)</w:t>
      </w:r>
    </w:p>
    <w:p w:rsidR="003F3EAD" w:rsidRDefault="003F3EAD" w:rsidP="001D2F6C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2) Внешние (со стороны экономики, в целом, или от государства).</w:t>
      </w:r>
    </w:p>
    <w:p w:rsidR="003F3EAD" w:rsidRDefault="003F3EAD" w:rsidP="001D2F6C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Коммерческий банк вправе сам выбирать, какую политику ему вести, и вообще будет ли он привлекать депозиты или нет. Соответственно, если банк ведет политику привлечения вкладов, то его процент должен быть ниже, чем у конкурентных банков. </w:t>
      </w:r>
    </w:p>
    <w:p w:rsidR="003F3EAD" w:rsidRDefault="003F3EAD" w:rsidP="003F3EAD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Необходимо отметить, что существуют достоинства и недостатки депозитов в коммерческих банках. </w:t>
      </w:r>
    </w:p>
    <w:p w:rsidR="003F3EAD" w:rsidRDefault="003F3EAD" w:rsidP="003F3EAD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достоинствам можно отнести: </w:t>
      </w:r>
    </w:p>
    <w:p w:rsidR="003F3EAD" w:rsidRDefault="003F3EAD" w:rsidP="003F3EAD">
      <w:pPr>
        <w:pStyle w:val="a3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Максимально простое и быстрое оформление, которое доступно для большинства населения;</w:t>
      </w:r>
    </w:p>
    <w:p w:rsidR="003F3EAD" w:rsidRDefault="003F3EAD" w:rsidP="003F3EAD">
      <w:pPr>
        <w:pStyle w:val="a3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Пассивный и ранее известный доход для вкладчика;</w:t>
      </w:r>
    </w:p>
    <w:p w:rsidR="003F3EAD" w:rsidRDefault="003F3EAD" w:rsidP="003F3EAD">
      <w:pPr>
        <w:pStyle w:val="a3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Банковские вклады застрахованы государством, а это означает, что сумма вкладов до 1,4 </w:t>
      </w:r>
      <w:proofErr w:type="spellStart"/>
      <w:r>
        <w:rPr>
          <w:color w:val="000000"/>
          <w:sz w:val="20"/>
          <w:szCs w:val="20"/>
        </w:rPr>
        <w:t>млн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  <w:proofErr w:type="spellEnd"/>
      <w:r>
        <w:rPr>
          <w:color w:val="000000"/>
          <w:sz w:val="20"/>
          <w:szCs w:val="20"/>
        </w:rPr>
        <w:t xml:space="preserve"> в случае страхового события будет возвращена вкладчику в полном объёме;</w:t>
      </w:r>
    </w:p>
    <w:p w:rsidR="003F3EAD" w:rsidRDefault="003F3EAD" w:rsidP="003F3EAD">
      <w:pPr>
        <w:pStyle w:val="a3"/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Льготное налогообложение. Налогом облагается только прибыль, которая превышает ставку рефинансирования +5 %.</w:t>
      </w:r>
    </w:p>
    <w:p w:rsidR="003F3EAD" w:rsidRDefault="003F3EAD" w:rsidP="003F3EAD">
      <w:pPr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недостаткам банковских депозитов относятся:</w:t>
      </w:r>
    </w:p>
    <w:p w:rsidR="003F3EAD" w:rsidRDefault="003F3EAD" w:rsidP="003F3EAD">
      <w:pPr>
        <w:pStyle w:val="a3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Низкая процентная ставка;</w:t>
      </w:r>
    </w:p>
    <w:p w:rsidR="003F3EAD" w:rsidRDefault="003F3EAD" w:rsidP="003F3EAD">
      <w:pPr>
        <w:pStyle w:val="a3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если вкладчик снимает денежные средства до окончания срока вклада, он теряет все полученные проценты (если это не вклад с возможностью частичного изъятия денежных средств);</w:t>
      </w:r>
    </w:p>
    <w:p w:rsidR="003F3EAD" w:rsidRDefault="003F3EAD" w:rsidP="003F3EAD">
      <w:pPr>
        <w:pStyle w:val="a3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Если ставка банка, больше, чем ставка рефинансирования на 5 %, то со всей суммы удерживается налог, и нужно рассчитать, рентабельно ли будет вложение.</w:t>
      </w:r>
    </w:p>
    <w:p w:rsidR="001D2F6C" w:rsidRDefault="003F3EAD" w:rsidP="003F3EAD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Стоит отметить, что </w:t>
      </w:r>
      <w:r w:rsidRPr="003F3EAD">
        <w:rPr>
          <w:color w:val="000000" w:themeColor="text1"/>
          <w:sz w:val="20"/>
          <w:szCs w:val="20"/>
        </w:rPr>
        <w:t>теоретически связь между с</w:t>
      </w:r>
      <w:r>
        <w:rPr>
          <w:color w:val="000000" w:themeColor="text1"/>
          <w:sz w:val="20"/>
          <w:szCs w:val="20"/>
        </w:rPr>
        <w:t xml:space="preserve">тавками должна быть. </w:t>
      </w:r>
      <w:proofErr w:type="gramStart"/>
      <w:r>
        <w:rPr>
          <w:color w:val="000000" w:themeColor="text1"/>
          <w:sz w:val="20"/>
          <w:szCs w:val="20"/>
        </w:rPr>
        <w:t>Выясним</w:t>
      </w:r>
      <w:proofErr w:type="gramEnd"/>
      <w:r>
        <w:rPr>
          <w:color w:val="000000" w:themeColor="text1"/>
          <w:sz w:val="20"/>
          <w:szCs w:val="20"/>
        </w:rPr>
        <w:t xml:space="preserve"> почему и какова она.</w:t>
      </w:r>
    </w:p>
    <w:p w:rsidR="00972FA8" w:rsidRDefault="00972FA8" w:rsidP="004253D8">
      <w:pPr>
        <w:pStyle w:val="a3"/>
        <w:spacing w:before="240" w:after="120" w:line="264" w:lineRule="auto"/>
        <w:jc w:val="center"/>
        <w:rPr>
          <w:smallCaps/>
          <w:color w:val="000000" w:themeColor="text1"/>
          <w:sz w:val="20"/>
          <w:szCs w:val="20"/>
        </w:rPr>
      </w:pPr>
      <w:r w:rsidRPr="001D2F6C">
        <w:rPr>
          <w:smallCaps/>
          <w:color w:val="000000" w:themeColor="text1"/>
          <w:sz w:val="20"/>
          <w:szCs w:val="20"/>
        </w:rPr>
        <w:t>IV. Результаты экспериментов</w:t>
      </w:r>
    </w:p>
    <w:p w:rsidR="004253D8" w:rsidRPr="004253D8" w:rsidRDefault="004253D8" w:rsidP="004253D8">
      <w:pPr>
        <w:pStyle w:val="a3"/>
        <w:spacing w:before="240" w:after="120" w:line="264" w:lineRule="auto"/>
        <w:jc w:val="center"/>
        <w:rPr>
          <w:smallCaps/>
          <w:color w:val="000000" w:themeColor="text1"/>
          <w:sz w:val="20"/>
          <w:szCs w:val="20"/>
        </w:rPr>
      </w:pPr>
    </w:p>
    <w:p w:rsidR="001D2F6C" w:rsidRPr="00C61DFA" w:rsidRDefault="008E137D" w:rsidP="004253D8">
      <w:pPr>
        <w:pStyle w:val="a3"/>
        <w:ind w:left="0"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Для анализа динамики </w:t>
      </w:r>
      <w:r w:rsidRPr="008E137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процентных ставок депозитных операций</w:t>
      </w:r>
      <w:r>
        <w:rPr>
          <w:color w:val="000000" w:themeColor="text1"/>
          <w:sz w:val="20"/>
          <w:szCs w:val="20"/>
        </w:rPr>
        <w:t xml:space="preserve"> </w:t>
      </w:r>
      <w:r w:rsidRPr="008E137D">
        <w:rPr>
          <w:color w:val="000000" w:themeColor="text1"/>
          <w:sz w:val="20"/>
          <w:szCs w:val="20"/>
        </w:rPr>
        <w:t xml:space="preserve">были взяты </w:t>
      </w:r>
      <w:r>
        <w:rPr>
          <w:color w:val="000000" w:themeColor="text1"/>
          <w:sz w:val="20"/>
          <w:szCs w:val="20"/>
        </w:rPr>
        <w:t xml:space="preserve">средневзвешенные </w:t>
      </w:r>
      <w:r>
        <w:rPr>
          <w:color w:val="000000"/>
          <w:sz w:val="20"/>
          <w:szCs w:val="20"/>
        </w:rPr>
        <w:t>процентные ставки депозитных операций 30 крупнейших банков РФ в рублях.</w:t>
      </w:r>
      <w:r w:rsidR="00C61DFA" w:rsidRPr="00C61DFA">
        <w:rPr>
          <w:color w:val="000000" w:themeColor="text1"/>
          <w:sz w:val="20"/>
          <w:szCs w:val="20"/>
        </w:rPr>
        <w:t xml:space="preserve"> </w:t>
      </w:r>
      <w:r w:rsidR="00C61DFA">
        <w:rPr>
          <w:color w:val="000000" w:themeColor="text1"/>
          <w:sz w:val="20"/>
          <w:szCs w:val="20"/>
        </w:rPr>
        <w:t xml:space="preserve">Рассмотрены </w:t>
      </w:r>
      <w:r w:rsidR="00C61DFA" w:rsidRPr="004253D8">
        <w:rPr>
          <w:color w:val="000000" w:themeColor="text1"/>
          <w:sz w:val="20"/>
          <w:szCs w:val="20"/>
        </w:rPr>
        <w:t>депозиты со сроком вложения до 1 года с уч</w:t>
      </w:r>
      <w:r w:rsidR="00C61DFA">
        <w:rPr>
          <w:color w:val="000000" w:themeColor="text1"/>
          <w:sz w:val="20"/>
          <w:szCs w:val="20"/>
        </w:rPr>
        <w:t>етом вкладов «до востребования» за период с 2014 по август 2017 года.</w:t>
      </w:r>
      <w:r>
        <w:rPr>
          <w:color w:val="000000" w:themeColor="text1"/>
          <w:sz w:val="20"/>
          <w:szCs w:val="20"/>
        </w:rPr>
        <w:t xml:space="preserve"> Для того</w:t>
      </w:r>
      <w:proofErr w:type="gramStart"/>
      <w:r>
        <w:rPr>
          <w:color w:val="000000" w:themeColor="text1"/>
          <w:sz w:val="20"/>
          <w:szCs w:val="20"/>
        </w:rPr>
        <w:t>,</w:t>
      </w:r>
      <w:proofErr w:type="gramEnd"/>
      <w:r>
        <w:rPr>
          <w:color w:val="000000" w:themeColor="text1"/>
          <w:sz w:val="20"/>
          <w:szCs w:val="20"/>
        </w:rPr>
        <w:t xml:space="preserve"> чтобы выявить зависимость процентных ставок по вкладам была проанализирована </w:t>
      </w:r>
      <w:r w:rsidR="00C61DFA">
        <w:rPr>
          <w:color w:val="000000" w:themeColor="text1"/>
          <w:sz w:val="20"/>
          <w:szCs w:val="20"/>
        </w:rPr>
        <w:t xml:space="preserve">ставка рефинансирования Банка России за аналогичный период. Все данные взяты с официального сайта Центрального Банка Российской Федерации. </w:t>
      </w:r>
      <w:r w:rsidR="00C61DFA" w:rsidRPr="00C61DFA">
        <w:rPr>
          <w:color w:val="000000" w:themeColor="text1"/>
          <w:sz w:val="20"/>
          <w:szCs w:val="20"/>
        </w:rPr>
        <w:t>[</w:t>
      </w:r>
      <w:r w:rsidR="008D49BF">
        <w:rPr>
          <w:color w:val="000000" w:themeColor="text1"/>
          <w:sz w:val="20"/>
          <w:szCs w:val="20"/>
        </w:rPr>
        <w:t>9</w:t>
      </w:r>
      <w:r w:rsidR="00C61DFA" w:rsidRPr="00C61DFA">
        <w:rPr>
          <w:color w:val="000000" w:themeColor="text1"/>
          <w:sz w:val="20"/>
          <w:szCs w:val="20"/>
        </w:rPr>
        <w:t>]</w:t>
      </w:r>
    </w:p>
    <w:p w:rsidR="00D77820" w:rsidRPr="004253D8" w:rsidRDefault="0012657C" w:rsidP="0012657C">
      <w:pPr>
        <w:jc w:val="center"/>
        <w:rPr>
          <w:noProof/>
          <w:color w:val="FF0000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54AE832" wp14:editId="75BA888C">
            <wp:extent cx="5915025" cy="3495675"/>
            <wp:effectExtent l="0" t="0" r="0" b="0"/>
            <wp:docPr id="3" name="image2.png" descr="C:\Users\Aleksandr\Desktop\1и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leksandr\Desktop\1и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733" cy="349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7820" w:rsidRDefault="004253D8" w:rsidP="004253D8">
      <w:pPr>
        <w:ind w:firstLine="2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Рисунок 1 – </w:t>
      </w:r>
      <w:r w:rsidR="00B115C1">
        <w:rPr>
          <w:color w:val="000000"/>
          <w:sz w:val="20"/>
          <w:szCs w:val="20"/>
        </w:rPr>
        <w:t xml:space="preserve">Динамика средневзвешенных процентных ставок депозитных операций 30 крупнейших банков РФ в рублях </w:t>
      </w:r>
      <w:r w:rsidR="00C61DFA">
        <w:rPr>
          <w:color w:val="000000"/>
          <w:sz w:val="20"/>
          <w:szCs w:val="20"/>
        </w:rPr>
        <w:t>(</w:t>
      </w:r>
      <w:r w:rsidR="00B115C1" w:rsidRPr="00B115C1">
        <w:rPr>
          <w:color w:val="000000"/>
          <w:sz w:val="20"/>
          <w:szCs w:val="20"/>
        </w:rPr>
        <w:t xml:space="preserve">до </w:t>
      </w:r>
      <w:r>
        <w:rPr>
          <w:color w:val="000000"/>
          <w:sz w:val="20"/>
          <w:szCs w:val="20"/>
        </w:rPr>
        <w:t>1 года, включая ''до востребова</w:t>
      </w:r>
      <w:r w:rsidR="00B115C1" w:rsidRPr="00B115C1">
        <w:rPr>
          <w:color w:val="000000"/>
          <w:sz w:val="20"/>
          <w:szCs w:val="20"/>
        </w:rPr>
        <w:t>ния'</w:t>
      </w:r>
      <w:r w:rsidR="00C61DFA">
        <w:rPr>
          <w:color w:val="000000"/>
          <w:sz w:val="20"/>
          <w:szCs w:val="20"/>
        </w:rPr>
        <w:t>) и ключевой ставки Банка России (% годовых).</w:t>
      </w:r>
    </w:p>
    <w:p w:rsidR="00D77820" w:rsidRDefault="00D77820" w:rsidP="004253D8">
      <w:pPr>
        <w:jc w:val="both"/>
        <w:rPr>
          <w:noProof/>
          <w:color w:val="000000"/>
          <w:sz w:val="20"/>
          <w:szCs w:val="20"/>
        </w:rPr>
      </w:pPr>
    </w:p>
    <w:p w:rsidR="00D77820" w:rsidRDefault="004253D8" w:rsidP="00C06402">
      <w:pPr>
        <w:ind w:firstLine="284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В ходе проведения анализа был постро</w:t>
      </w:r>
      <w:r w:rsidR="00C06402">
        <w:rPr>
          <w:noProof/>
          <w:color w:val="000000"/>
          <w:sz w:val="20"/>
          <w:szCs w:val="20"/>
        </w:rPr>
        <w:t>ен график зависимости из кото</w:t>
      </w:r>
      <w:r w:rsidR="00C61DFA">
        <w:rPr>
          <w:noProof/>
          <w:color w:val="000000"/>
          <w:sz w:val="20"/>
          <w:szCs w:val="20"/>
        </w:rPr>
        <w:t>ро</w:t>
      </w:r>
      <w:r w:rsidR="00C06402">
        <w:rPr>
          <w:noProof/>
          <w:color w:val="000000"/>
          <w:sz w:val="20"/>
          <w:szCs w:val="20"/>
        </w:rPr>
        <w:t>го можно сделать соотве</w:t>
      </w:r>
      <w:r w:rsidR="008B5A02">
        <w:rPr>
          <w:noProof/>
          <w:color w:val="000000"/>
          <w:sz w:val="20"/>
          <w:szCs w:val="20"/>
        </w:rPr>
        <w:t>т</w:t>
      </w:r>
      <w:r w:rsidR="00C06402">
        <w:rPr>
          <w:noProof/>
          <w:color w:val="000000"/>
          <w:sz w:val="20"/>
          <w:szCs w:val="20"/>
        </w:rPr>
        <w:t>ствующие выводы.</w:t>
      </w:r>
    </w:p>
    <w:p w:rsidR="00D77820" w:rsidRDefault="00D77820" w:rsidP="00D77820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572229">
        <w:rPr>
          <w:smallCaps/>
          <w:color w:val="000000"/>
          <w:sz w:val="20"/>
          <w:szCs w:val="20"/>
        </w:rPr>
        <w:t>V. Обсуждение результатов</w:t>
      </w:r>
    </w:p>
    <w:p w:rsidR="00C06402" w:rsidRDefault="00C06402" w:rsidP="00472B88">
      <w:pPr>
        <w:ind w:firstLine="284"/>
        <w:jc w:val="both"/>
        <w:rPr>
          <w:sz w:val="20"/>
          <w:szCs w:val="20"/>
        </w:rPr>
      </w:pPr>
      <w:r w:rsidRPr="006E5517">
        <w:rPr>
          <w:sz w:val="20"/>
          <w:szCs w:val="20"/>
        </w:rPr>
        <w:t>На графике представлены средневзвешенные процентные ставки по вкладам в 30 коммерческих банках Российской Федерации в период с 2014 по август 2017 гг. Линией тренда отражена учетная ставка за аналогичный период. Проанализировав данные, представленные на графике, можно сделать вывод о том, что</w:t>
      </w:r>
      <w:r w:rsidR="005140FC" w:rsidRPr="006E5517">
        <w:rPr>
          <w:sz w:val="20"/>
          <w:szCs w:val="20"/>
        </w:rPr>
        <w:t xml:space="preserve"> процентная ставка по вкладам, практически никогда, не превышала ставки рефинансирования. Но в 2014 г. произошел валютный кризис – резкое ослабление российского рубля к иностранным валютам, данное явления было вызвано стремительным уменьшением мировых цен на нефть. Данная ситуация на мировом рынке повлекла за собой высокий спрос потребителей на товары длительного пользования, а н</w:t>
      </w:r>
      <w:r w:rsidR="006E5517" w:rsidRPr="006E5517">
        <w:rPr>
          <w:sz w:val="20"/>
          <w:szCs w:val="20"/>
        </w:rPr>
        <w:t>е на сбере</w:t>
      </w:r>
      <w:r w:rsidR="00472B88">
        <w:rPr>
          <w:sz w:val="20"/>
          <w:szCs w:val="20"/>
        </w:rPr>
        <w:t>жения денежных сре</w:t>
      </w:r>
      <w:proofErr w:type="gramStart"/>
      <w:r w:rsidR="00472B88">
        <w:rPr>
          <w:sz w:val="20"/>
          <w:szCs w:val="20"/>
        </w:rPr>
        <w:t>дств в р</w:t>
      </w:r>
      <w:proofErr w:type="gramEnd"/>
      <w:r w:rsidR="00472B88">
        <w:rPr>
          <w:sz w:val="20"/>
          <w:szCs w:val="20"/>
        </w:rPr>
        <w:t>ублях.</w:t>
      </w:r>
      <w:r w:rsidR="006E5517" w:rsidRPr="006E5517">
        <w:rPr>
          <w:sz w:val="20"/>
          <w:szCs w:val="20"/>
        </w:rPr>
        <w:t xml:space="preserve"> </w:t>
      </w:r>
      <w:proofErr w:type="gramStart"/>
      <w:r w:rsidR="00472B88">
        <w:rPr>
          <w:sz w:val="20"/>
          <w:szCs w:val="20"/>
        </w:rPr>
        <w:t>В</w:t>
      </w:r>
      <w:r w:rsidR="006E5517" w:rsidRPr="006E5517">
        <w:rPr>
          <w:sz w:val="20"/>
          <w:szCs w:val="20"/>
        </w:rPr>
        <w:t xml:space="preserve"> период с ноября по август 2014 года доля рублевых вкладов сни</w:t>
      </w:r>
      <w:r w:rsidR="00472B88">
        <w:rPr>
          <w:sz w:val="20"/>
          <w:szCs w:val="20"/>
        </w:rPr>
        <w:t xml:space="preserve">зилась на 3,6% , </w:t>
      </w:r>
      <w:r w:rsidR="006E5517" w:rsidRPr="006E5517">
        <w:rPr>
          <w:sz w:val="20"/>
          <w:szCs w:val="20"/>
        </w:rPr>
        <w:t xml:space="preserve"> что нельзя сказать, про валютные вклады, доля которых возросла с 9,5% до 10,6%</w:t>
      </w:r>
      <w:r w:rsidR="005140FC" w:rsidRPr="006E5517">
        <w:rPr>
          <w:sz w:val="20"/>
          <w:szCs w:val="20"/>
        </w:rPr>
        <w:t>.</w:t>
      </w:r>
      <w:r w:rsidR="00472B88">
        <w:rPr>
          <w:sz w:val="20"/>
          <w:szCs w:val="20"/>
        </w:rPr>
        <w:t xml:space="preserve"> </w:t>
      </w:r>
      <w:r w:rsidR="00472B88" w:rsidRPr="00472B88">
        <w:rPr>
          <w:sz w:val="20"/>
          <w:szCs w:val="20"/>
        </w:rPr>
        <w:t>[</w:t>
      </w:r>
      <w:r w:rsidR="008D49BF">
        <w:rPr>
          <w:sz w:val="20"/>
          <w:szCs w:val="20"/>
        </w:rPr>
        <w:t>9</w:t>
      </w:r>
      <w:r w:rsidR="00472B88" w:rsidRPr="00472B88">
        <w:rPr>
          <w:sz w:val="20"/>
          <w:szCs w:val="20"/>
        </w:rPr>
        <w:t>]</w:t>
      </w:r>
      <w:r w:rsidR="00472B88">
        <w:rPr>
          <w:sz w:val="20"/>
          <w:szCs w:val="20"/>
        </w:rPr>
        <w:t xml:space="preserve"> </w:t>
      </w:r>
      <w:r w:rsidR="006E5517" w:rsidRPr="006E5517">
        <w:rPr>
          <w:sz w:val="20"/>
          <w:szCs w:val="20"/>
        </w:rPr>
        <w:t xml:space="preserve"> Этим фактом объясняется процентная ставка по депозитам в 2015 г</w:t>
      </w:r>
      <w:r w:rsidR="00472B88">
        <w:rPr>
          <w:sz w:val="20"/>
          <w:szCs w:val="20"/>
        </w:rPr>
        <w:t>.</w:t>
      </w:r>
      <w:r w:rsidR="006E5517" w:rsidRPr="006E5517">
        <w:rPr>
          <w:sz w:val="20"/>
          <w:szCs w:val="20"/>
        </w:rPr>
        <w:t xml:space="preserve"> </w:t>
      </w:r>
      <w:r w:rsidR="00472B88">
        <w:rPr>
          <w:sz w:val="20"/>
          <w:szCs w:val="20"/>
        </w:rPr>
        <w:t>В</w:t>
      </w:r>
      <w:r w:rsidR="006E5517" w:rsidRPr="006E5517">
        <w:rPr>
          <w:sz w:val="20"/>
          <w:szCs w:val="20"/>
        </w:rPr>
        <w:t xml:space="preserve"> целях привлечения денежных средств от населения коммерческие банки устанавливали высокие процентные ставки по вкладам, эту тенденцию можно также увидеть на графике</w:t>
      </w:r>
      <w:proofErr w:type="gramEnd"/>
      <w:r w:rsidR="006E5517" w:rsidRPr="006E5517">
        <w:rPr>
          <w:sz w:val="20"/>
          <w:szCs w:val="20"/>
        </w:rPr>
        <w:t>.</w:t>
      </w:r>
      <w:r w:rsidR="006E5517">
        <w:rPr>
          <w:sz w:val="20"/>
          <w:szCs w:val="20"/>
        </w:rPr>
        <w:t xml:space="preserve"> К июлю 2015 года ситуация на мировом рынке стабилизировалась. Отметим, что до 2016 года учетная ставка была стабильной и держалась на уровне 8,25%. </w:t>
      </w:r>
      <w:r w:rsidR="00572C8B">
        <w:rPr>
          <w:sz w:val="20"/>
          <w:szCs w:val="20"/>
        </w:rPr>
        <w:t>С 1 января 2016 года Указанием Банка России от 11.12.2015 № 3894-У « О ставке рефинансирования Банка России и ключевой ставке Банка России» значение учетной ставки соответствует значению ключевой ставки Банка России на соответствующую дату. Учетная ставка возросла с 8,25% до 11%, после стабилизации экономической ситуации в стране, ставка рефинансирования имеет тенденцию снижения.</w:t>
      </w:r>
    </w:p>
    <w:p w:rsidR="00572C8B" w:rsidRPr="006E5517" w:rsidRDefault="00572C8B" w:rsidP="00C0640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сегодняшний день коммерческие банки стараются вести свою депозитарную политику и не иметь привязки к ставке рефинансирования Банка России. На такую политику влияет несколько факторов, главный из которых желание вкладчика заранее </w:t>
      </w:r>
      <w:r w:rsidR="00D83D39">
        <w:rPr>
          <w:sz w:val="20"/>
          <w:szCs w:val="20"/>
        </w:rPr>
        <w:t xml:space="preserve">знать свой доход по вкладам и </w:t>
      </w:r>
      <w:r>
        <w:rPr>
          <w:sz w:val="20"/>
          <w:szCs w:val="20"/>
        </w:rPr>
        <w:t xml:space="preserve"> иметь </w:t>
      </w:r>
      <w:r w:rsidR="00D83D39">
        <w:rPr>
          <w:sz w:val="20"/>
          <w:szCs w:val="20"/>
        </w:rPr>
        <w:t>уверенность в его стабильности. Необходимо сказать о том, что количество вкладчиков будет зависеть от того насколько четко и в полном объеме будут объяснены правовые последствия привязки процентной ставки банка к изменению ставки Банка России, в ином случаем вкладчик может потребовать выплат по тому проценту, который был первоначально установлен коммерческий банком, в договоре.</w:t>
      </w:r>
    </w:p>
    <w:p w:rsidR="00D77820" w:rsidRDefault="00D77820" w:rsidP="00D77820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  <w:r w:rsidRPr="00572229">
        <w:rPr>
          <w:smallCaps/>
          <w:color w:val="000000"/>
          <w:sz w:val="20"/>
          <w:szCs w:val="20"/>
        </w:rPr>
        <w:t>VI. Выводы и заключение</w:t>
      </w:r>
    </w:p>
    <w:p w:rsidR="00D86FDC" w:rsidRDefault="00D93A8F" w:rsidP="00D86FD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ходе исследования была выя</w:t>
      </w:r>
      <w:r w:rsidR="00953873">
        <w:rPr>
          <w:sz w:val="20"/>
          <w:szCs w:val="20"/>
        </w:rPr>
        <w:t>влена</w:t>
      </w:r>
      <w:r>
        <w:rPr>
          <w:sz w:val="20"/>
          <w:szCs w:val="20"/>
        </w:rPr>
        <w:t xml:space="preserve"> зависимость </w:t>
      </w:r>
      <w:r w:rsidR="00953873">
        <w:rPr>
          <w:sz w:val="20"/>
          <w:szCs w:val="20"/>
        </w:rPr>
        <w:t xml:space="preserve">процентной ставки по вкладам в коммерческих банках от учётной ставки ЦБ РФ. Эта зависимость косвенная, и объясняется тем, что коммерческому банку нецелесообразно устанавливать проценты по вкладам выше, чем ставка рефинансирования </w:t>
      </w:r>
      <w:proofErr w:type="gramStart"/>
      <w:r w:rsidR="00953873">
        <w:rPr>
          <w:sz w:val="20"/>
          <w:szCs w:val="20"/>
        </w:rPr>
        <w:t xml:space="preserve">( </w:t>
      </w:r>
      <w:proofErr w:type="gramEnd"/>
      <w:r w:rsidR="00953873">
        <w:rPr>
          <w:sz w:val="20"/>
          <w:szCs w:val="20"/>
        </w:rPr>
        <w:t xml:space="preserve">для коммерческого банка выгоднее взять кредит у Банка России, чем привлечь большее количество клиентов из-за выгодной для </w:t>
      </w:r>
      <w:r w:rsidR="00953873">
        <w:rPr>
          <w:sz w:val="20"/>
          <w:szCs w:val="20"/>
        </w:rPr>
        <w:lastRenderedPageBreak/>
        <w:t>них депозитной политики, и выплачивать вкладчикам большие проценты за хранение денежных средств, которые необходим</w:t>
      </w:r>
      <w:r w:rsidR="00D86FDC">
        <w:rPr>
          <w:sz w:val="20"/>
          <w:szCs w:val="20"/>
        </w:rPr>
        <w:t>ы для самого банка</w:t>
      </w:r>
      <w:r w:rsidR="00953873">
        <w:rPr>
          <w:sz w:val="20"/>
          <w:szCs w:val="20"/>
        </w:rPr>
        <w:t>).</w:t>
      </w:r>
      <w:r w:rsidR="00D86FDC">
        <w:rPr>
          <w:sz w:val="20"/>
          <w:szCs w:val="20"/>
        </w:rPr>
        <w:t xml:space="preserve"> </w:t>
      </w:r>
    </w:p>
    <w:p w:rsidR="001A24A3" w:rsidRPr="00290A2F" w:rsidRDefault="00D77820" w:rsidP="00D86FDC">
      <w:pPr>
        <w:ind w:firstLine="284"/>
        <w:jc w:val="both"/>
        <w:rPr>
          <w:sz w:val="20"/>
          <w:szCs w:val="20"/>
        </w:rPr>
      </w:pPr>
      <w:r w:rsidRPr="001A24A3">
        <w:rPr>
          <w:sz w:val="20"/>
          <w:szCs w:val="20"/>
        </w:rPr>
        <w:t>На сегодняшний день существует большой выбор инвестирования для физических лиц. Данная деятельность всегда сопряж</w:t>
      </w:r>
      <w:r w:rsidR="000C408D">
        <w:rPr>
          <w:sz w:val="20"/>
          <w:szCs w:val="20"/>
        </w:rPr>
        <w:t>ена большой вероятностью рисков.</w:t>
      </w:r>
      <w:r w:rsidRPr="001A24A3">
        <w:rPr>
          <w:sz w:val="20"/>
          <w:szCs w:val="20"/>
        </w:rPr>
        <w:t xml:space="preserve"> </w:t>
      </w:r>
      <w:r w:rsidR="00D86FDC">
        <w:rPr>
          <w:sz w:val="20"/>
          <w:szCs w:val="20"/>
        </w:rPr>
        <w:t>И как было сказано ранее, о</w:t>
      </w:r>
      <w:r w:rsidR="001A24A3" w:rsidRPr="001A24A3">
        <w:rPr>
          <w:sz w:val="20"/>
          <w:szCs w:val="20"/>
        </w:rPr>
        <w:t>дним из наиболее стабильных вложений, являются вложения в коммерческие банки</w:t>
      </w:r>
      <w:r w:rsidR="001A24A3">
        <w:rPr>
          <w:sz w:val="20"/>
          <w:szCs w:val="20"/>
        </w:rPr>
        <w:t xml:space="preserve">. </w:t>
      </w:r>
      <w:r w:rsidR="000C408D">
        <w:rPr>
          <w:sz w:val="20"/>
          <w:szCs w:val="20"/>
        </w:rPr>
        <w:t xml:space="preserve">Процентная ставка по вкладам не всегда является привлекательной для вкладчиков, это может быть обосновано со стороны коммерческих банков тем, что она косвенно зависит от ставки рефинансирования Центрального Банка Российской Федерации. </w:t>
      </w:r>
      <w:proofErr w:type="gramStart"/>
      <w:r w:rsidR="000C408D">
        <w:rPr>
          <w:sz w:val="20"/>
          <w:szCs w:val="20"/>
        </w:rPr>
        <w:t>Но</w:t>
      </w:r>
      <w:proofErr w:type="gramEnd"/>
      <w:r w:rsidR="000C408D">
        <w:rPr>
          <w:sz w:val="20"/>
          <w:szCs w:val="20"/>
        </w:rPr>
        <w:t xml:space="preserve"> не смотря на это, необходимо помнить, что вклады в коммерческие банки</w:t>
      </w:r>
      <w:r w:rsidR="001A5DDB">
        <w:rPr>
          <w:sz w:val="20"/>
          <w:szCs w:val="20"/>
        </w:rPr>
        <w:t xml:space="preserve"> –</w:t>
      </w:r>
      <w:r w:rsidR="000C408D">
        <w:rPr>
          <w:sz w:val="20"/>
          <w:szCs w:val="20"/>
        </w:rPr>
        <w:t xml:space="preserve"> это </w:t>
      </w:r>
      <w:r w:rsidR="001A5DDB">
        <w:rPr>
          <w:sz w:val="20"/>
          <w:szCs w:val="20"/>
        </w:rPr>
        <w:t>одна</w:t>
      </w:r>
      <w:r w:rsidR="000C408D">
        <w:rPr>
          <w:sz w:val="20"/>
          <w:szCs w:val="20"/>
        </w:rPr>
        <w:t xml:space="preserve"> из самых </w:t>
      </w:r>
      <w:proofErr w:type="spellStart"/>
      <w:r w:rsidR="000C408D">
        <w:rPr>
          <w:sz w:val="20"/>
          <w:szCs w:val="20"/>
        </w:rPr>
        <w:t>низкорискованных</w:t>
      </w:r>
      <w:proofErr w:type="spellEnd"/>
      <w:r w:rsidR="000C408D">
        <w:rPr>
          <w:sz w:val="20"/>
          <w:szCs w:val="20"/>
        </w:rPr>
        <w:t xml:space="preserve"> </w:t>
      </w:r>
      <w:r w:rsidR="001A5DDB">
        <w:rPr>
          <w:sz w:val="20"/>
          <w:szCs w:val="20"/>
        </w:rPr>
        <w:t xml:space="preserve">инвестиций. </w:t>
      </w:r>
      <w:r w:rsidR="001A24A3" w:rsidRPr="001A24A3">
        <w:rPr>
          <w:sz w:val="20"/>
          <w:szCs w:val="20"/>
        </w:rPr>
        <w:t>Инвестируя средства, нужно се</w:t>
      </w:r>
      <w:r w:rsidR="001A24A3">
        <w:rPr>
          <w:sz w:val="20"/>
          <w:szCs w:val="20"/>
        </w:rPr>
        <w:t>рьезно и взвешенно принимать ре</w:t>
      </w:r>
      <w:r w:rsidR="001A24A3" w:rsidRPr="001A24A3">
        <w:rPr>
          <w:sz w:val="20"/>
          <w:szCs w:val="20"/>
        </w:rPr>
        <w:t>шения</w:t>
      </w:r>
      <w:r w:rsidR="00D52E3F">
        <w:rPr>
          <w:sz w:val="20"/>
          <w:szCs w:val="20"/>
        </w:rPr>
        <w:t>, а так же следить за условиями договора при оформлении депозита.</w:t>
      </w:r>
      <w:r w:rsidR="001A24A3" w:rsidRPr="001A24A3">
        <w:rPr>
          <w:sz w:val="20"/>
          <w:szCs w:val="20"/>
        </w:rPr>
        <w:t xml:space="preserve"> Пренебрежение основными</w:t>
      </w:r>
      <w:r w:rsidR="001A24A3">
        <w:rPr>
          <w:sz w:val="20"/>
          <w:szCs w:val="20"/>
        </w:rPr>
        <w:t xml:space="preserve"> правилами может приводить к по</w:t>
      </w:r>
      <w:r w:rsidR="001A24A3" w:rsidRPr="001A24A3">
        <w:rPr>
          <w:sz w:val="20"/>
          <w:szCs w:val="20"/>
        </w:rPr>
        <w:t>тере денежных средств. Соблюдение разумных правил позволяет свести</w:t>
      </w:r>
      <w:r w:rsidR="001A24A3">
        <w:rPr>
          <w:sz w:val="20"/>
          <w:szCs w:val="20"/>
        </w:rPr>
        <w:t xml:space="preserve"> </w:t>
      </w:r>
      <w:r w:rsidR="001A24A3" w:rsidRPr="001A24A3">
        <w:rPr>
          <w:sz w:val="20"/>
          <w:szCs w:val="20"/>
        </w:rPr>
        <w:t>риски инвестирования к минимуму и получать существенный доход.</w:t>
      </w:r>
    </w:p>
    <w:p w:rsidR="001A24A3" w:rsidRPr="00472B88" w:rsidRDefault="001A24A3" w:rsidP="00472B88">
      <w:pPr>
        <w:spacing w:before="240" w:after="120" w:line="22" w:lineRule="atLeast"/>
        <w:jc w:val="center"/>
        <w:rPr>
          <w:smallCaps/>
          <w:color w:val="000000"/>
          <w:sz w:val="20"/>
          <w:szCs w:val="20"/>
        </w:rPr>
      </w:pPr>
      <w:r w:rsidRPr="00572229">
        <w:rPr>
          <w:smallCaps/>
          <w:color w:val="000000"/>
          <w:sz w:val="20"/>
          <w:szCs w:val="20"/>
        </w:rPr>
        <w:t>Список литературы</w:t>
      </w:r>
    </w:p>
    <w:p w:rsidR="002078B6" w:rsidRPr="002078B6" w:rsidRDefault="00971AFD" w:rsidP="003446F5">
      <w:pPr>
        <w:pStyle w:val="a3"/>
        <w:numPr>
          <w:ilvl w:val="0"/>
          <w:numId w:val="14"/>
        </w:numPr>
        <w:spacing w:line="22" w:lineRule="atLeast"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971AFD">
        <w:rPr>
          <w:sz w:val="20"/>
          <w:szCs w:val="20"/>
        </w:rPr>
        <w:t>Гусев А., Сулейманова С., Инвестиционные риски.– М.: Министерство Финансов РФ.</w:t>
      </w:r>
      <w:r w:rsidR="003446F5" w:rsidRPr="003446F5">
        <w:rPr>
          <w:sz w:val="20"/>
          <w:szCs w:val="20"/>
        </w:rPr>
        <w:t xml:space="preserve"> </w:t>
      </w:r>
      <w:r w:rsidR="003446F5">
        <w:rPr>
          <w:sz w:val="20"/>
          <w:szCs w:val="20"/>
        </w:rPr>
        <w:t>2015</w:t>
      </w:r>
      <w:r w:rsidR="003446F5" w:rsidRPr="00971AFD">
        <w:rPr>
          <w:sz w:val="20"/>
          <w:szCs w:val="20"/>
        </w:rPr>
        <w:t>.</w:t>
      </w:r>
      <w:r w:rsidR="003446F5">
        <w:rPr>
          <w:sz w:val="20"/>
          <w:szCs w:val="20"/>
        </w:rPr>
        <w:t xml:space="preserve"> 38 с. </w:t>
      </w:r>
    </w:p>
    <w:p w:rsidR="002078B6" w:rsidRPr="008D49BF" w:rsidRDefault="002078B6" w:rsidP="002078B6">
      <w:pPr>
        <w:pStyle w:val="a3"/>
        <w:numPr>
          <w:ilvl w:val="0"/>
          <w:numId w:val="14"/>
        </w:numPr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078B6">
        <w:rPr>
          <w:sz w:val="20"/>
          <w:szCs w:val="20"/>
        </w:rPr>
        <w:t>Дробышевский</w:t>
      </w:r>
      <w:proofErr w:type="spellEnd"/>
      <w:r w:rsidRPr="002078B6">
        <w:rPr>
          <w:sz w:val="20"/>
          <w:szCs w:val="20"/>
        </w:rPr>
        <w:t xml:space="preserve"> С., </w:t>
      </w:r>
      <w:proofErr w:type="spellStart"/>
      <w:r w:rsidRPr="002078B6">
        <w:rPr>
          <w:sz w:val="20"/>
          <w:szCs w:val="20"/>
        </w:rPr>
        <w:t>Трунин</w:t>
      </w:r>
      <w:proofErr w:type="spellEnd"/>
      <w:r w:rsidRPr="002078B6">
        <w:rPr>
          <w:sz w:val="20"/>
          <w:szCs w:val="20"/>
        </w:rPr>
        <w:t xml:space="preserve"> П., Анализ информационной политики Банка России / С. </w:t>
      </w:r>
      <w:proofErr w:type="spellStart"/>
      <w:r w:rsidRPr="002078B6">
        <w:rPr>
          <w:sz w:val="20"/>
          <w:szCs w:val="20"/>
        </w:rPr>
        <w:t>Дробышевский</w:t>
      </w:r>
      <w:proofErr w:type="spellEnd"/>
      <w:r w:rsidRPr="002078B6">
        <w:rPr>
          <w:sz w:val="20"/>
          <w:szCs w:val="20"/>
        </w:rPr>
        <w:t xml:space="preserve">, </w:t>
      </w:r>
      <w:proofErr w:type="spellStart"/>
      <w:r w:rsidRPr="002078B6">
        <w:rPr>
          <w:sz w:val="20"/>
          <w:szCs w:val="20"/>
        </w:rPr>
        <w:t>Трунин</w:t>
      </w:r>
      <w:proofErr w:type="spellEnd"/>
      <w:r w:rsidRPr="002078B6">
        <w:rPr>
          <w:sz w:val="20"/>
          <w:szCs w:val="20"/>
        </w:rPr>
        <w:t xml:space="preserve"> П.// Вопросы экономики.-2017. -№ 10. – С. 23</w:t>
      </w:r>
      <w:r w:rsidR="008D49BF">
        <w:rPr>
          <w:sz w:val="20"/>
          <w:szCs w:val="20"/>
        </w:rPr>
        <w:t xml:space="preserve"> </w:t>
      </w:r>
      <w:r w:rsidR="008D49BF" w:rsidRPr="008D49BF">
        <w:rPr>
          <w:i/>
          <w:sz w:val="20"/>
          <w:szCs w:val="20"/>
        </w:rPr>
        <w:t xml:space="preserve">(Входит в </w:t>
      </w:r>
      <w:proofErr w:type="spellStart"/>
      <w:r w:rsidR="008D49BF" w:rsidRPr="008D49BF">
        <w:rPr>
          <w:i/>
          <w:sz w:val="20"/>
          <w:szCs w:val="20"/>
        </w:rPr>
        <w:t>Scopus</w:t>
      </w:r>
      <w:proofErr w:type="spellEnd"/>
      <w:r w:rsidR="008D49BF" w:rsidRPr="008D49BF">
        <w:rPr>
          <w:i/>
          <w:sz w:val="20"/>
          <w:szCs w:val="20"/>
        </w:rPr>
        <w:t>)</w:t>
      </w:r>
    </w:p>
    <w:p w:rsidR="008D49BF" w:rsidRPr="008D49BF" w:rsidRDefault="008D49BF" w:rsidP="008D49BF">
      <w:pPr>
        <w:pStyle w:val="a3"/>
        <w:numPr>
          <w:ilvl w:val="0"/>
          <w:numId w:val="14"/>
        </w:numPr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sz w:val="20"/>
          <w:szCs w:val="20"/>
        </w:rPr>
        <w:t>Ильяшенко В.В, Куклина Л.Н., И</w:t>
      </w:r>
      <w:r w:rsidRPr="008D49BF">
        <w:rPr>
          <w:sz w:val="20"/>
          <w:szCs w:val="20"/>
        </w:rPr>
        <w:t xml:space="preserve">нфляция в современной </w:t>
      </w:r>
      <w:r>
        <w:rPr>
          <w:sz w:val="20"/>
          <w:szCs w:val="20"/>
        </w:rPr>
        <w:t>Р</w:t>
      </w:r>
      <w:r w:rsidRPr="008D49BF">
        <w:rPr>
          <w:sz w:val="20"/>
          <w:szCs w:val="20"/>
        </w:rPr>
        <w:t>оссии: теоретические основы, особенности проявления и региональный аспект</w:t>
      </w:r>
      <w:r>
        <w:rPr>
          <w:sz w:val="20"/>
          <w:szCs w:val="20"/>
        </w:rPr>
        <w:t xml:space="preserve"> / В.В. Ильяшенко, Л.Н. Куклина, // Экономика региона.- 2017. — № 2. — с. </w:t>
      </w:r>
      <w:r w:rsidRPr="008D49BF">
        <w:rPr>
          <w:sz w:val="20"/>
          <w:szCs w:val="20"/>
        </w:rPr>
        <w:t>434-445.</w:t>
      </w:r>
      <w:r w:rsidRPr="008D49BF">
        <w:t xml:space="preserve"> </w:t>
      </w:r>
      <w:r w:rsidRPr="008D49BF">
        <w:rPr>
          <w:i/>
          <w:sz w:val="20"/>
          <w:szCs w:val="20"/>
        </w:rPr>
        <w:t xml:space="preserve">(Входит в </w:t>
      </w:r>
      <w:proofErr w:type="spellStart"/>
      <w:r w:rsidRPr="008D49BF">
        <w:rPr>
          <w:i/>
          <w:sz w:val="20"/>
          <w:szCs w:val="20"/>
        </w:rPr>
        <w:t>Scopus</w:t>
      </w:r>
      <w:proofErr w:type="spellEnd"/>
      <w:r w:rsidRPr="008D49BF">
        <w:rPr>
          <w:i/>
          <w:sz w:val="20"/>
          <w:szCs w:val="20"/>
        </w:rPr>
        <w:t>)</w:t>
      </w:r>
    </w:p>
    <w:p w:rsidR="00971AFD" w:rsidRDefault="0042065C" w:rsidP="001A24A3">
      <w:pPr>
        <w:pStyle w:val="a3"/>
        <w:numPr>
          <w:ilvl w:val="0"/>
          <w:numId w:val="14"/>
        </w:numPr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hyperlink r:id="rId10" w:history="1">
        <w:r w:rsidR="00971AFD" w:rsidRPr="00971AFD">
          <w:rPr>
            <w:rStyle w:val="ac"/>
            <w:iCs/>
            <w:color w:val="000000" w:themeColor="text1"/>
            <w:sz w:val="20"/>
            <w:szCs w:val="20"/>
            <w:u w:val="none"/>
            <w:shd w:val="clear" w:color="auto" w:fill="FFFFFF"/>
          </w:rPr>
          <w:t>Матраева Л. В.</w:t>
        </w:r>
      </w:hyperlink>
      <w:r w:rsidR="00971AFD" w:rsidRPr="00971AFD">
        <w:rPr>
          <w:iCs/>
          <w:color w:val="000000" w:themeColor="text1"/>
          <w:sz w:val="20"/>
          <w:szCs w:val="20"/>
          <w:shd w:val="clear" w:color="auto" w:fill="FFFFFF"/>
        </w:rPr>
        <w:t>, </w:t>
      </w:r>
      <w:hyperlink r:id="rId11" w:history="1">
        <w:r w:rsidR="00971AFD" w:rsidRPr="00971AFD">
          <w:rPr>
            <w:rStyle w:val="ac"/>
            <w:iCs/>
            <w:color w:val="000000" w:themeColor="text1"/>
            <w:sz w:val="20"/>
            <w:szCs w:val="20"/>
            <w:u w:val="none"/>
            <w:shd w:val="clear" w:color="auto" w:fill="FFFFFF"/>
          </w:rPr>
          <w:t>Калинин Н. В.</w:t>
        </w:r>
      </w:hyperlink>
      <w:r w:rsidR="00971AFD" w:rsidRPr="00971AFD">
        <w:rPr>
          <w:iCs/>
          <w:color w:val="000000" w:themeColor="text1"/>
          <w:sz w:val="20"/>
          <w:szCs w:val="20"/>
          <w:shd w:val="clear" w:color="auto" w:fill="FFFFFF"/>
        </w:rPr>
        <w:t>, </w:t>
      </w:r>
      <w:hyperlink r:id="rId12" w:history="1">
        <w:r w:rsidR="00971AFD" w:rsidRPr="00971AFD">
          <w:rPr>
            <w:rStyle w:val="ac"/>
            <w:iCs/>
            <w:color w:val="000000" w:themeColor="text1"/>
            <w:sz w:val="20"/>
            <w:szCs w:val="20"/>
            <w:u w:val="none"/>
            <w:shd w:val="clear" w:color="auto" w:fill="FFFFFF"/>
          </w:rPr>
          <w:t>Денисов В. Н.</w:t>
        </w:r>
      </w:hyperlink>
      <w:r w:rsidR="00971AFD" w:rsidRPr="00971AFD">
        <w:rPr>
          <w:iCs/>
          <w:color w:val="000000" w:themeColor="text1"/>
          <w:sz w:val="20"/>
          <w:szCs w:val="20"/>
          <w:shd w:val="clear" w:color="auto" w:fill="FFFFFF"/>
        </w:rPr>
        <w:t> Деньги. Кредит. Банки: Учебник для бакалавров. М.: Дашков и Ко, 2015. 304 с. </w:t>
      </w:r>
    </w:p>
    <w:p w:rsidR="002078B6" w:rsidRPr="002078B6" w:rsidRDefault="002078B6" w:rsidP="002078B6">
      <w:pPr>
        <w:pStyle w:val="a3"/>
        <w:numPr>
          <w:ilvl w:val="0"/>
          <w:numId w:val="14"/>
        </w:numPr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Райзберг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Б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А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.,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Лозовский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Л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Ш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.,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Стародубцева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Е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Б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..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Современный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экономический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словарь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.—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2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-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е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изд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.,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испр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М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: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ИНФРА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-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М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479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с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.. </w:t>
      </w:r>
      <w:r w:rsidRPr="001A24A3">
        <w:rPr>
          <w:rStyle w:val="w"/>
          <w:iCs/>
          <w:color w:val="000000" w:themeColor="text1"/>
          <w:sz w:val="20"/>
          <w:szCs w:val="20"/>
          <w:shd w:val="clear" w:color="auto" w:fill="FFFFFF"/>
        </w:rPr>
        <w:t>1999</w:t>
      </w:r>
      <w:r w:rsidRPr="001A24A3">
        <w:rPr>
          <w:rStyle w:val="a4"/>
          <w:color w:val="000000" w:themeColor="text1"/>
          <w:sz w:val="20"/>
          <w:szCs w:val="20"/>
          <w:shd w:val="clear" w:color="auto" w:fill="FFFFFF"/>
        </w:rPr>
        <w:t>.</w:t>
      </w:r>
    </w:p>
    <w:p w:rsidR="001A5DDB" w:rsidRPr="001A5DDB" w:rsidRDefault="00971AFD" w:rsidP="001A5DDB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971AFD">
        <w:rPr>
          <w:sz w:val="20"/>
          <w:szCs w:val="20"/>
        </w:rPr>
        <w:t>Учебн</w:t>
      </w:r>
      <w:proofErr w:type="gramStart"/>
      <w:r w:rsidRPr="00971AFD">
        <w:rPr>
          <w:sz w:val="20"/>
          <w:szCs w:val="20"/>
        </w:rPr>
        <w:t>о-</w:t>
      </w:r>
      <w:proofErr w:type="gramEnd"/>
      <w:r w:rsidRPr="00971AFD">
        <w:rPr>
          <w:sz w:val="20"/>
          <w:szCs w:val="20"/>
        </w:rPr>
        <w:t xml:space="preserve"> познавательный портал «РФБС» [Электронный ресурс] // URL: http://rfbs.ru/ (дата обращения: 28.0</w:t>
      </w:r>
      <w:r>
        <w:rPr>
          <w:sz w:val="20"/>
          <w:szCs w:val="20"/>
        </w:rPr>
        <w:t>9.2017</w:t>
      </w:r>
      <w:r w:rsidRPr="00971AFD">
        <w:rPr>
          <w:sz w:val="20"/>
          <w:szCs w:val="20"/>
        </w:rPr>
        <w:t xml:space="preserve">). </w:t>
      </w:r>
    </w:p>
    <w:p w:rsidR="001A5DDB" w:rsidRDefault="001A5DDB" w:rsidP="002078B6">
      <w:pPr>
        <w:pStyle w:val="Default"/>
        <w:numPr>
          <w:ilvl w:val="0"/>
          <w:numId w:val="14"/>
        </w:numPr>
        <w:spacing w:line="22" w:lineRule="atLeast"/>
        <w:rPr>
          <w:sz w:val="20"/>
          <w:szCs w:val="20"/>
        </w:rPr>
      </w:pPr>
      <w:r w:rsidRPr="002078B6">
        <w:rPr>
          <w:sz w:val="20"/>
          <w:szCs w:val="20"/>
        </w:rPr>
        <w:t>Сайт</w:t>
      </w:r>
      <w:r w:rsidR="002078B6" w:rsidRPr="002078B6">
        <w:rPr>
          <w:sz w:val="20"/>
          <w:szCs w:val="20"/>
        </w:rPr>
        <w:t>-</w:t>
      </w:r>
      <w:r w:rsidRPr="002078B6">
        <w:rPr>
          <w:sz w:val="20"/>
          <w:szCs w:val="20"/>
        </w:rPr>
        <w:t>справочник «РБК Рейтинг» [Электронный ресурс] // URL: http://rating.rbc.ru/ (дата обращения</w:t>
      </w:r>
      <w:r w:rsidR="002078B6" w:rsidRPr="002078B6">
        <w:rPr>
          <w:sz w:val="20"/>
          <w:szCs w:val="20"/>
        </w:rPr>
        <w:t>: 18.10.2017</w:t>
      </w:r>
      <w:r w:rsidRPr="002078B6">
        <w:rPr>
          <w:sz w:val="20"/>
          <w:szCs w:val="20"/>
        </w:rPr>
        <w:t xml:space="preserve">). </w:t>
      </w:r>
    </w:p>
    <w:p w:rsidR="00C67AD9" w:rsidRPr="00C67AD9" w:rsidRDefault="00C67AD9" w:rsidP="00C67AD9">
      <w:pPr>
        <w:pStyle w:val="a3"/>
        <w:numPr>
          <w:ilvl w:val="0"/>
          <w:numId w:val="14"/>
        </w:numPr>
        <w:spacing w:line="22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Официальный сайт Федеральной службы государственной статистики </w:t>
      </w:r>
      <w:r w:rsidRPr="002078B6">
        <w:rPr>
          <w:sz w:val="20"/>
          <w:szCs w:val="20"/>
        </w:rPr>
        <w:t>[Электронный ресурс] // URL:</w:t>
      </w:r>
      <w:r>
        <w:rPr>
          <w:sz w:val="20"/>
          <w:szCs w:val="20"/>
        </w:rPr>
        <w:t xml:space="preserve"> </w:t>
      </w:r>
      <w:hyperlink r:id="rId13" w:history="1">
        <w:r w:rsidRPr="00C67AD9">
          <w:rPr>
            <w:rStyle w:val="ac"/>
            <w:color w:val="0D0D0D" w:themeColor="text1" w:themeTint="F2"/>
            <w:sz w:val="20"/>
            <w:szCs w:val="20"/>
            <w:u w:val="none"/>
          </w:rPr>
          <w:t>http://www.gks.ru</w:t>
        </w:r>
      </w:hyperlink>
      <w:r>
        <w:rPr>
          <w:sz w:val="20"/>
          <w:szCs w:val="20"/>
        </w:rPr>
        <w:t xml:space="preserve"> </w:t>
      </w:r>
      <w:r w:rsidRPr="002078B6">
        <w:rPr>
          <w:sz w:val="20"/>
          <w:szCs w:val="20"/>
        </w:rPr>
        <w:t>(дата обращения: 10.10.2017)</w:t>
      </w:r>
    </w:p>
    <w:p w:rsidR="002078B6" w:rsidRDefault="002078B6" w:rsidP="002078B6">
      <w:pPr>
        <w:pStyle w:val="a3"/>
        <w:numPr>
          <w:ilvl w:val="0"/>
          <w:numId w:val="14"/>
        </w:numPr>
        <w:spacing w:line="22" w:lineRule="atLeast"/>
        <w:jc w:val="both"/>
        <w:rPr>
          <w:sz w:val="20"/>
          <w:szCs w:val="20"/>
        </w:rPr>
      </w:pPr>
      <w:r w:rsidRPr="002078B6">
        <w:rPr>
          <w:sz w:val="20"/>
          <w:szCs w:val="20"/>
        </w:rPr>
        <w:t>Официальный сайт Центрального Банк РФ [Электронный ресурс] // URL: http: www.cbr.ru (дата обращения: 10.10.2017)</w:t>
      </w:r>
    </w:p>
    <w:p w:rsidR="00513E3C" w:rsidRPr="00C67AD9" w:rsidRDefault="00513E3C" w:rsidP="00513E3C">
      <w:pPr>
        <w:pStyle w:val="a3"/>
        <w:numPr>
          <w:ilvl w:val="0"/>
          <w:numId w:val="14"/>
        </w:numPr>
        <w:spacing w:line="22" w:lineRule="atLeast"/>
        <w:jc w:val="both"/>
        <w:rPr>
          <w:sz w:val="20"/>
          <w:szCs w:val="20"/>
        </w:rPr>
      </w:pPr>
      <w:r w:rsidRPr="00513E3C">
        <w:rPr>
          <w:sz w:val="20"/>
          <w:szCs w:val="20"/>
        </w:rPr>
        <w:t xml:space="preserve">Федерация. Законы. </w:t>
      </w:r>
      <w:r w:rsidRPr="000F55E4">
        <w:rPr>
          <w:color w:val="000000" w:themeColor="text1"/>
          <w:sz w:val="20"/>
          <w:szCs w:val="20"/>
        </w:rPr>
        <w:t>О Центральном банке Росс</w:t>
      </w:r>
      <w:r>
        <w:rPr>
          <w:color w:val="000000" w:themeColor="text1"/>
          <w:sz w:val="20"/>
          <w:szCs w:val="20"/>
        </w:rPr>
        <w:t>ийской Федерации (Банке России)</w:t>
      </w:r>
      <w:r w:rsidRPr="000F55E4">
        <w:rPr>
          <w:color w:val="000000" w:themeColor="text1"/>
          <w:sz w:val="20"/>
          <w:szCs w:val="20"/>
        </w:rPr>
        <w:t xml:space="preserve"> </w:t>
      </w:r>
      <w:r w:rsidRPr="00513E3C">
        <w:rPr>
          <w:sz w:val="20"/>
          <w:szCs w:val="20"/>
        </w:rPr>
        <w:t>[Электронный ресурс]</w:t>
      </w:r>
      <w:proofErr w:type="gramStart"/>
      <w:r w:rsidRPr="00513E3C">
        <w:rPr>
          <w:sz w:val="20"/>
          <w:szCs w:val="20"/>
        </w:rPr>
        <w:t xml:space="preserve"> :</w:t>
      </w:r>
      <w:proofErr w:type="gramEnd"/>
      <w:r w:rsidRPr="00513E3C">
        <w:rPr>
          <w:sz w:val="20"/>
          <w:szCs w:val="20"/>
        </w:rPr>
        <w:t xml:space="preserve"> </w:t>
      </w:r>
      <w:proofErr w:type="spellStart"/>
      <w:r w:rsidRPr="00513E3C">
        <w:rPr>
          <w:sz w:val="20"/>
          <w:szCs w:val="20"/>
        </w:rPr>
        <w:t>федер</w:t>
      </w:r>
      <w:proofErr w:type="spellEnd"/>
      <w:r w:rsidRPr="00513E3C">
        <w:rPr>
          <w:sz w:val="20"/>
          <w:szCs w:val="20"/>
        </w:rPr>
        <w:t xml:space="preserve">. закон : [принят Гос. </w:t>
      </w:r>
      <w:proofErr w:type="gramStart"/>
      <w:r w:rsidRPr="00513E3C">
        <w:rPr>
          <w:sz w:val="20"/>
          <w:szCs w:val="20"/>
        </w:rPr>
        <w:t xml:space="preserve">Думой от </w:t>
      </w:r>
      <w:r>
        <w:rPr>
          <w:sz w:val="20"/>
          <w:szCs w:val="20"/>
        </w:rPr>
        <w:t>10</w:t>
      </w:r>
      <w:r w:rsidRPr="00513E3C">
        <w:rPr>
          <w:sz w:val="20"/>
          <w:szCs w:val="20"/>
        </w:rPr>
        <w:t xml:space="preserve"> </w:t>
      </w:r>
      <w:r>
        <w:rPr>
          <w:sz w:val="20"/>
          <w:szCs w:val="20"/>
        </w:rPr>
        <w:t>июля</w:t>
      </w:r>
      <w:r w:rsidRPr="00513E3C">
        <w:rPr>
          <w:sz w:val="20"/>
          <w:szCs w:val="20"/>
        </w:rPr>
        <w:t xml:space="preserve"> </w:t>
      </w:r>
      <w:r>
        <w:rPr>
          <w:sz w:val="20"/>
          <w:szCs w:val="20"/>
        </w:rPr>
        <w:t>2002</w:t>
      </w:r>
      <w:r w:rsidRPr="00513E3C">
        <w:rPr>
          <w:sz w:val="20"/>
          <w:szCs w:val="20"/>
        </w:rPr>
        <w:t xml:space="preserve"> г. № </w:t>
      </w:r>
      <w:r>
        <w:rPr>
          <w:sz w:val="20"/>
          <w:szCs w:val="20"/>
        </w:rPr>
        <w:t>86</w:t>
      </w:r>
      <w:r w:rsidRPr="00513E3C">
        <w:rPr>
          <w:sz w:val="20"/>
          <w:szCs w:val="20"/>
        </w:rPr>
        <w:t>-</w:t>
      </w:r>
      <w:r>
        <w:rPr>
          <w:sz w:val="20"/>
          <w:szCs w:val="20"/>
        </w:rPr>
        <w:t>ФЗ</w:t>
      </w:r>
      <w:r w:rsidRPr="00513E3C">
        <w:rPr>
          <w:sz w:val="20"/>
          <w:szCs w:val="20"/>
        </w:rPr>
        <w:t xml:space="preserve"> по состоянию на </w:t>
      </w:r>
      <w:r w:rsidRPr="000F55E4">
        <w:rPr>
          <w:color w:val="000000" w:themeColor="text1"/>
          <w:sz w:val="20"/>
          <w:szCs w:val="20"/>
        </w:rPr>
        <w:t>18.07.2017</w:t>
      </w:r>
      <w:r w:rsidRPr="00513E3C">
        <w:rPr>
          <w:sz w:val="20"/>
          <w:szCs w:val="20"/>
        </w:rPr>
        <w:t>] // Доступ из справочно-правовой системы «Консультант Плюс».</w:t>
      </w:r>
      <w:proofErr w:type="gramEnd"/>
    </w:p>
    <w:p w:rsidR="001A24A3" w:rsidRDefault="001A24A3" w:rsidP="001A24A3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</w:p>
    <w:p w:rsidR="001A24A3" w:rsidRPr="00572229" w:rsidRDefault="001A24A3" w:rsidP="001A24A3">
      <w:pPr>
        <w:spacing w:before="240" w:after="120" w:line="264" w:lineRule="auto"/>
        <w:jc w:val="center"/>
        <w:rPr>
          <w:smallCaps/>
          <w:color w:val="000000"/>
          <w:sz w:val="20"/>
          <w:szCs w:val="20"/>
        </w:rPr>
      </w:pPr>
    </w:p>
    <w:p w:rsidR="001A24A3" w:rsidRPr="001A24A3" w:rsidRDefault="001A24A3" w:rsidP="001A24A3">
      <w:pPr>
        <w:ind w:firstLine="284"/>
        <w:jc w:val="both"/>
        <w:rPr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p w:rsidR="00B05A3C" w:rsidRDefault="00B05A3C" w:rsidP="00B05A3C">
      <w:pPr>
        <w:jc w:val="both"/>
        <w:rPr>
          <w:color w:val="000000"/>
          <w:sz w:val="20"/>
          <w:szCs w:val="20"/>
        </w:rPr>
      </w:pPr>
    </w:p>
    <w:sectPr w:rsidR="00B05A3C" w:rsidSect="00B752DF">
      <w:footerReference w:type="default" r:id="rId14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5C" w:rsidRDefault="0042065C" w:rsidP="00B752DF">
      <w:r>
        <w:separator/>
      </w:r>
    </w:p>
  </w:endnote>
  <w:endnote w:type="continuationSeparator" w:id="0">
    <w:p w:rsidR="0042065C" w:rsidRDefault="0042065C" w:rsidP="00B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DF" w:rsidRDefault="00B752DF" w:rsidP="00B752DF">
    <w:pPr>
      <w:ind w:firstLine="284"/>
      <w:jc w:val="both"/>
    </w:pPr>
    <w:r w:rsidRPr="00B752DF">
      <w:rPr>
        <w:color w:val="000000" w:themeColor="text1"/>
        <w:sz w:val="20"/>
        <w:szCs w:val="20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5C" w:rsidRDefault="0042065C" w:rsidP="00B752DF">
      <w:r>
        <w:separator/>
      </w:r>
    </w:p>
  </w:footnote>
  <w:footnote w:type="continuationSeparator" w:id="0">
    <w:p w:rsidR="0042065C" w:rsidRDefault="0042065C" w:rsidP="00B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DDD"/>
    <w:multiLevelType w:val="hybridMultilevel"/>
    <w:tmpl w:val="0850432E"/>
    <w:lvl w:ilvl="0" w:tplc="CD305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E23"/>
    <w:multiLevelType w:val="hybridMultilevel"/>
    <w:tmpl w:val="DF3EECD4"/>
    <w:lvl w:ilvl="0" w:tplc="BCE40B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7F0293"/>
    <w:multiLevelType w:val="hybridMultilevel"/>
    <w:tmpl w:val="509CF7CE"/>
    <w:lvl w:ilvl="0" w:tplc="4CB8BD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5C6C"/>
    <w:multiLevelType w:val="hybridMultilevel"/>
    <w:tmpl w:val="6624F6D4"/>
    <w:lvl w:ilvl="0" w:tplc="5DAAD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668A"/>
    <w:multiLevelType w:val="hybridMultilevel"/>
    <w:tmpl w:val="D4CC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6135"/>
    <w:multiLevelType w:val="hybridMultilevel"/>
    <w:tmpl w:val="9BE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62B02"/>
    <w:multiLevelType w:val="hybridMultilevel"/>
    <w:tmpl w:val="9376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C73"/>
    <w:multiLevelType w:val="hybridMultilevel"/>
    <w:tmpl w:val="A6220D42"/>
    <w:lvl w:ilvl="0" w:tplc="B434B9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3C4E96"/>
    <w:multiLevelType w:val="hybridMultilevel"/>
    <w:tmpl w:val="2F82013C"/>
    <w:lvl w:ilvl="0" w:tplc="D254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53791B"/>
    <w:multiLevelType w:val="hybridMultilevel"/>
    <w:tmpl w:val="3350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418BE"/>
    <w:multiLevelType w:val="hybridMultilevel"/>
    <w:tmpl w:val="5408228C"/>
    <w:lvl w:ilvl="0" w:tplc="C8AC27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79FE"/>
    <w:multiLevelType w:val="multilevel"/>
    <w:tmpl w:val="D0E21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922CD"/>
    <w:multiLevelType w:val="hybridMultilevel"/>
    <w:tmpl w:val="01DC9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664BB"/>
    <w:multiLevelType w:val="hybridMultilevel"/>
    <w:tmpl w:val="B18C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A5865"/>
    <w:multiLevelType w:val="hybridMultilevel"/>
    <w:tmpl w:val="466E61BC"/>
    <w:lvl w:ilvl="0" w:tplc="C9F44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7A7067"/>
    <w:multiLevelType w:val="multilevel"/>
    <w:tmpl w:val="C22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75D78"/>
    <w:multiLevelType w:val="hybridMultilevel"/>
    <w:tmpl w:val="3870ABF0"/>
    <w:lvl w:ilvl="0" w:tplc="B4C6B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15"/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1D9"/>
    <w:rsid w:val="000135EC"/>
    <w:rsid w:val="0004501B"/>
    <w:rsid w:val="00061DDE"/>
    <w:rsid w:val="000C408D"/>
    <w:rsid w:val="000C4202"/>
    <w:rsid w:val="000D1002"/>
    <w:rsid w:val="000E4CE9"/>
    <w:rsid w:val="000F55E4"/>
    <w:rsid w:val="00116A3F"/>
    <w:rsid w:val="0012657C"/>
    <w:rsid w:val="00152DA0"/>
    <w:rsid w:val="001A24A3"/>
    <w:rsid w:val="001A5DDB"/>
    <w:rsid w:val="001A6A84"/>
    <w:rsid w:val="001B682F"/>
    <w:rsid w:val="001D2F6C"/>
    <w:rsid w:val="001E6C4F"/>
    <w:rsid w:val="002078B6"/>
    <w:rsid w:val="00290A2F"/>
    <w:rsid w:val="002932A2"/>
    <w:rsid w:val="002A1BC0"/>
    <w:rsid w:val="002B43B9"/>
    <w:rsid w:val="002C08D8"/>
    <w:rsid w:val="002D2468"/>
    <w:rsid w:val="00307EAC"/>
    <w:rsid w:val="00317644"/>
    <w:rsid w:val="003446F5"/>
    <w:rsid w:val="0035734E"/>
    <w:rsid w:val="00360605"/>
    <w:rsid w:val="003D6FE9"/>
    <w:rsid w:val="003E29A2"/>
    <w:rsid w:val="003E3EE4"/>
    <w:rsid w:val="003E76E2"/>
    <w:rsid w:val="003F3EAD"/>
    <w:rsid w:val="00402A12"/>
    <w:rsid w:val="0042065C"/>
    <w:rsid w:val="004253D8"/>
    <w:rsid w:val="00472B88"/>
    <w:rsid w:val="00484FED"/>
    <w:rsid w:val="004970BB"/>
    <w:rsid w:val="004F5DF1"/>
    <w:rsid w:val="00513E3C"/>
    <w:rsid w:val="005140FC"/>
    <w:rsid w:val="005430BB"/>
    <w:rsid w:val="00545F43"/>
    <w:rsid w:val="00572C8B"/>
    <w:rsid w:val="006562AF"/>
    <w:rsid w:val="006A3AAD"/>
    <w:rsid w:val="006B1504"/>
    <w:rsid w:val="006E5517"/>
    <w:rsid w:val="007E1649"/>
    <w:rsid w:val="007E467A"/>
    <w:rsid w:val="00834DB8"/>
    <w:rsid w:val="008B5A02"/>
    <w:rsid w:val="008D49BF"/>
    <w:rsid w:val="008E137D"/>
    <w:rsid w:val="00913FE7"/>
    <w:rsid w:val="00953873"/>
    <w:rsid w:val="00971AFD"/>
    <w:rsid w:val="00972FA8"/>
    <w:rsid w:val="009811D0"/>
    <w:rsid w:val="009B65BD"/>
    <w:rsid w:val="009C3CB1"/>
    <w:rsid w:val="00A54CEB"/>
    <w:rsid w:val="00A971D9"/>
    <w:rsid w:val="00AA416D"/>
    <w:rsid w:val="00AB4DB7"/>
    <w:rsid w:val="00AC1A47"/>
    <w:rsid w:val="00AC227D"/>
    <w:rsid w:val="00AF1FE2"/>
    <w:rsid w:val="00B00640"/>
    <w:rsid w:val="00B05A3C"/>
    <w:rsid w:val="00B115C1"/>
    <w:rsid w:val="00B44A94"/>
    <w:rsid w:val="00B752DF"/>
    <w:rsid w:val="00BD16D4"/>
    <w:rsid w:val="00C04D72"/>
    <w:rsid w:val="00C06402"/>
    <w:rsid w:val="00C16B57"/>
    <w:rsid w:val="00C34C0F"/>
    <w:rsid w:val="00C52837"/>
    <w:rsid w:val="00C61DFA"/>
    <w:rsid w:val="00C67AD9"/>
    <w:rsid w:val="00C72807"/>
    <w:rsid w:val="00CB7975"/>
    <w:rsid w:val="00D279E6"/>
    <w:rsid w:val="00D52E3F"/>
    <w:rsid w:val="00D77820"/>
    <w:rsid w:val="00D83D39"/>
    <w:rsid w:val="00D86FDC"/>
    <w:rsid w:val="00D93341"/>
    <w:rsid w:val="00D93A8F"/>
    <w:rsid w:val="00DD6510"/>
    <w:rsid w:val="00E6543F"/>
    <w:rsid w:val="00EC1084"/>
    <w:rsid w:val="00F17777"/>
    <w:rsid w:val="00F46D4F"/>
    <w:rsid w:val="00F563DB"/>
    <w:rsid w:val="00F62924"/>
    <w:rsid w:val="00F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72"/>
    <w:pPr>
      <w:ind w:left="720"/>
      <w:contextualSpacing/>
    </w:pPr>
  </w:style>
  <w:style w:type="character" w:styleId="a4">
    <w:name w:val="Emphasis"/>
    <w:basedOn w:val="a0"/>
    <w:uiPriority w:val="20"/>
    <w:qFormat/>
    <w:rsid w:val="00B05A3C"/>
    <w:rPr>
      <w:i/>
      <w:iCs/>
    </w:rPr>
  </w:style>
  <w:style w:type="character" w:customStyle="1" w:styleId="w">
    <w:name w:val="w"/>
    <w:basedOn w:val="a0"/>
    <w:rsid w:val="00B05A3C"/>
  </w:style>
  <w:style w:type="table" w:styleId="a5">
    <w:name w:val="Table Grid"/>
    <w:basedOn w:val="a1"/>
    <w:uiPriority w:val="59"/>
    <w:rsid w:val="00BD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75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5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71AFD"/>
    <w:rPr>
      <w:color w:val="0000FF" w:themeColor="hyperlink"/>
      <w:u w:val="single"/>
    </w:rPr>
  </w:style>
  <w:style w:type="paragraph" w:customStyle="1" w:styleId="Default">
    <w:name w:val="Default"/>
    <w:rsid w:val="00971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13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ibrary.ru/author_items.asp?refid=431176497&amp;fam=%D0%94%D0%B5%D0%BD%D0%B8%D1%81%D0%BE%D0%B2&amp;init=%D0%92+%D0%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author_items.asp?refid=431176497&amp;fam=%D0%9A%D0%B0%D0%BB%D0%B8%D0%BD%D0%B8%D0%BD&amp;init=%D0%9D+%D0%9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author_items.asp?refid=431176497&amp;fam=%D0%9C%D0%B0%D1%82%D1%80%D0%B0%D0%B5%D0%B2%D0%B0&amp;init=%D0%9B+%D0%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8F9A-C036-4B17-BFF1-64CA2642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20</cp:revision>
  <dcterms:created xsi:type="dcterms:W3CDTF">2017-10-23T11:52:00Z</dcterms:created>
  <dcterms:modified xsi:type="dcterms:W3CDTF">2017-11-06T12:33:00Z</dcterms:modified>
</cp:coreProperties>
</file>