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A7" w:rsidRDefault="00B02AA7" w:rsidP="00B02AA7">
      <w:pPr>
        <w:spacing w:line="264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УДК</w:t>
      </w:r>
      <w:r w:rsidR="006644E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B02AA7" w:rsidRDefault="00B02AA7" w:rsidP="00013711">
      <w:pPr>
        <w:spacing w:after="0" w:line="264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02AA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Динамика инвестиций физических лиц на примере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ПАО</w:t>
      </w:r>
      <w:r w:rsidRPr="00B02AA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«</w:t>
      </w:r>
      <w:r w:rsidRPr="00B02AA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Сбербанк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</w:t>
      </w:r>
    </w:p>
    <w:p w:rsidR="006D7530" w:rsidRDefault="006D7530" w:rsidP="00013711">
      <w:pPr>
        <w:spacing w:after="0" w:line="264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B02AA7" w:rsidRDefault="00B02AA7" w:rsidP="00013711">
      <w:pPr>
        <w:spacing w:after="0" w:line="264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Е. О. Баклина, А. Е. Янченко</w:t>
      </w:r>
    </w:p>
    <w:p w:rsidR="00B02AA7" w:rsidRPr="00F631D9" w:rsidRDefault="00B02AA7" w:rsidP="00F631D9">
      <w:pPr>
        <w:spacing w:after="0" w:line="264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  <w:r w:rsidRPr="006D753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Омский </w:t>
      </w:r>
      <w:r w:rsidR="00013711" w:rsidRPr="006D753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Государственный</w:t>
      </w:r>
      <w:r w:rsidRPr="006D753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</w:t>
      </w:r>
      <w:r w:rsidR="00013711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т</w:t>
      </w:r>
      <w:r w:rsidRPr="006D753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ехнический университет</w:t>
      </w:r>
      <w:r w:rsidR="006D7530" w:rsidRPr="006D753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, </w:t>
      </w:r>
      <w:r w:rsidRPr="006D753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Омск, Российская Федерация</w:t>
      </w:r>
    </w:p>
    <w:p w:rsidR="00B02AA7" w:rsidRPr="006D7530" w:rsidRDefault="00B02AA7" w:rsidP="00013711">
      <w:pPr>
        <w:spacing w:after="0" w:line="264" w:lineRule="auto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6D7530" w:rsidRDefault="006D7530" w:rsidP="00013711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6D7530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 xml:space="preserve">Аннотация </w:t>
      </w:r>
      <w:r w:rsidR="00F56DFF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– </w:t>
      </w:r>
      <w:r w:rsidR="001E3209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а</w:t>
      </w:r>
      <w:r w:rsidR="001E3209" w:rsidRPr="001E3209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ктивизация финансового рынка является одним из приоритетных </w:t>
      </w:r>
      <w:proofErr w:type="gramStart"/>
      <w:r w:rsidR="001E3209" w:rsidRPr="001E3209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направлении</w:t>
      </w:r>
      <w:proofErr w:type="gramEnd"/>
      <w:r w:rsidR="001E3209" w:rsidRPr="001E3209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̆ развития экономики Российской Федерации. Практически полное закрытие доступа к внешним источникам ф</w:t>
      </w:r>
      <w:r w:rsidR="001E3209" w:rsidRPr="001E3209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и</w:t>
      </w:r>
      <w:r w:rsidR="001E3209" w:rsidRPr="001E3209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нансирования вследствие введения экономических санкций в отношении России и снижения цен на с</w:t>
      </w:r>
      <w:r w:rsidR="001E3209" w:rsidRPr="001E3209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ы</w:t>
      </w:r>
      <w:r w:rsidR="001E3209" w:rsidRPr="001E3209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рье заставляют обратить пристальное внимание на внутренние источники финансирования инвестиц</w:t>
      </w:r>
      <w:r w:rsidR="001E3209" w:rsidRPr="001E3209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и</w:t>
      </w:r>
      <w:r w:rsidR="001E3209" w:rsidRPr="001E3209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онной деятельности.</w:t>
      </w:r>
      <w:r w:rsidR="00A85AD4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В</w:t>
      </w:r>
      <w:r w:rsidR="00267271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статье приведен </w:t>
      </w:r>
      <w:r w:rsidR="00A36E8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обзор</w:t>
      </w:r>
      <w:r w:rsidR="00F56DFF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 инвест</w:t>
      </w:r>
      <w:r w:rsidR="00267271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иций физических лиц на</w:t>
      </w:r>
      <w:r w:rsidR="00F56DFF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примере  ПАО «</w:t>
      </w:r>
      <w:r w:rsidR="0063546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Сберба</w:t>
      </w:r>
      <w:r w:rsidR="0063546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н</w:t>
      </w:r>
      <w:r w:rsidR="0063546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ка</w:t>
      </w:r>
      <w:r w:rsidR="00F56DFF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». </w:t>
      </w:r>
      <w:r w:rsidR="00267271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1E3209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Рассмотрена </w:t>
      </w:r>
      <w:r w:rsidR="00A36E8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динамика </w:t>
      </w:r>
      <w:r w:rsidR="001E3209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доходности инвестиций. </w:t>
      </w:r>
    </w:p>
    <w:p w:rsidR="00F56DFF" w:rsidRPr="006D7530" w:rsidRDefault="00F56DFF" w:rsidP="00013711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6D7530" w:rsidRDefault="006D7530" w:rsidP="00013711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6D7530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>Ключевые слова</w:t>
      </w:r>
      <w:r w:rsidRPr="006D7530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инвест</w:t>
      </w:r>
      <w:r w:rsidR="00A85AD4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иции, физическое лицо, развитие, уровень доходности.</w:t>
      </w:r>
    </w:p>
    <w:p w:rsidR="00267271" w:rsidRDefault="00267271" w:rsidP="00013711">
      <w:pPr>
        <w:spacing w:after="0" w:line="264" w:lineRule="auto"/>
        <w:ind w:firstLine="284"/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267271" w:rsidRPr="00013711" w:rsidRDefault="00950995" w:rsidP="00013711">
      <w:pPr>
        <w:spacing w:after="0" w:line="264" w:lineRule="auto"/>
        <w:ind w:firstLine="284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727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I.</w:t>
      </w:r>
      <w:r w:rsidRPr="0001371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ВВЕДЕНИЕ</w:t>
      </w:r>
    </w:p>
    <w:p w:rsidR="00267271" w:rsidRPr="00013711" w:rsidRDefault="00267271" w:rsidP="00013711">
      <w:pPr>
        <w:spacing w:after="0" w:line="264" w:lineRule="auto"/>
        <w:ind w:firstLine="284"/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013711" w:rsidRDefault="00A36E88" w:rsidP="00635465">
      <w:pPr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Каждый человек хочет эффективно использовать временно свободные денежные средства, поэтому мы пр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анализировали инвестиционные программы ПАО «Сбербанк». </w:t>
      </w:r>
      <w:r w:rsidR="00B02AA7" w:rsidRPr="0001371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Не так давно коммерческие банки стали предл</w:t>
      </w:r>
      <w:r w:rsidR="00B02AA7" w:rsidRPr="0001371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</w:t>
      </w:r>
      <w:r w:rsidR="00B02AA7" w:rsidRPr="0001371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гать инвестиционные продукты физиче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ским</w:t>
      </w:r>
      <w:r w:rsidR="00B02AA7" w:rsidRPr="0001371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лиц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ам</w:t>
      </w:r>
      <w:r w:rsidR="00B02AA7" w:rsidRPr="0001371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="00267271" w:rsidRPr="0001371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связи со спадом в экономике и, как следствие, в сфере банковской деятельности, банковские организации идут на смягчение своих условий, чтобы удержаться на рынке</w:t>
      </w:r>
      <w:r w:rsidR="004D5AC5" w:rsidRPr="0001371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Например, еще в 20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12</w:t>
      </w:r>
      <w:r w:rsidR="004D5AC5" w:rsidRPr="0001371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году </w:t>
      </w:r>
      <w:r w:rsidR="00267271" w:rsidRPr="0001371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минимальн</w:t>
      </w:r>
      <w:r w:rsidR="004D5AC5" w:rsidRPr="0001371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ая сумма для инвестиционных проектов физических лиц в сре</w:t>
      </w:r>
      <w:r w:rsidR="004D5AC5" w:rsidRPr="0001371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</w:t>
      </w:r>
      <w:r w:rsidR="004D5AC5" w:rsidRPr="0001371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нем составляла 1 000 000 рублей. Это придавало владельцам инвестиций привилегированный статус. На сег</w:t>
      </w:r>
      <w:r w:rsidR="004D5AC5" w:rsidRPr="0001371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</w:t>
      </w:r>
      <w:r w:rsidR="004D5AC5" w:rsidRPr="0001371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дняшний же день любой человек, имеющий сумму от </w:t>
      </w:r>
      <w:r w:rsidR="006146A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1000</w:t>
      </w:r>
      <w:r w:rsidR="004D5AC5" w:rsidRPr="0001371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рублей, может поучаствовать в инвестиционных проектах с различными условиями и уровнем доходности. Данная статья написана с использованием литерат</w:t>
      </w:r>
      <w:r w:rsidR="004D5AC5" w:rsidRPr="0001371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</w:t>
      </w:r>
      <w:r w:rsidR="004D5AC5" w:rsidRPr="0001371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ры таких авторов, как И. С. Краевский,  Звягинцева Н. А. и других. </w:t>
      </w:r>
    </w:p>
    <w:p w:rsidR="00635465" w:rsidRPr="00013711" w:rsidRDefault="00635465" w:rsidP="00635465">
      <w:pPr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013711" w:rsidRDefault="00950995" w:rsidP="00013711">
      <w:pPr>
        <w:spacing w:after="0" w:line="264" w:lineRule="auto"/>
        <w:ind w:firstLine="284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1371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II. ПОСТАНОВКА ЗАДАЧИ</w:t>
      </w:r>
    </w:p>
    <w:p w:rsidR="00013711" w:rsidRPr="00013711" w:rsidRDefault="00013711" w:rsidP="00635465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6D7530" w:rsidRDefault="00635465" w:rsidP="00013711">
      <w:pPr>
        <w:spacing w:after="0" w:line="264" w:lineRule="auto"/>
        <w:ind w:firstLine="284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1371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Задача исследования заключается в обозначении конкретных инвестиционны</w:t>
      </w:r>
      <w:r w:rsidR="00A36E8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х  продуктов для физических ли</w:t>
      </w:r>
      <w:r w:rsidR="006146A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ц и </w:t>
      </w:r>
      <w:r w:rsidR="00A36E8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01371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выявлении динамики инвестици</w:t>
      </w:r>
      <w:r w:rsidR="00A36E8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онной</w:t>
      </w:r>
      <w:r w:rsidRPr="0001371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A36E8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доходности в сравнении с изменением инфляционной ставки. </w:t>
      </w:r>
      <w:r w:rsidR="002F69A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По итогам исследования составим перспективу развития инвестиций для физических лиц в ПАО «Сбербанк».  </w:t>
      </w:r>
    </w:p>
    <w:p w:rsidR="00635465" w:rsidRDefault="00635465" w:rsidP="00013711">
      <w:pPr>
        <w:spacing w:after="0" w:line="264" w:lineRule="auto"/>
        <w:ind w:firstLine="284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635465" w:rsidRDefault="00950995" w:rsidP="006644EB">
      <w:pPr>
        <w:spacing w:after="0" w:line="264" w:lineRule="auto"/>
        <w:ind w:firstLine="284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3546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III. ТЕОРИЯ</w:t>
      </w:r>
    </w:p>
    <w:p w:rsidR="00635465" w:rsidRDefault="00635465" w:rsidP="006644EB">
      <w:pPr>
        <w:spacing w:after="0" w:line="264" w:lineRule="auto"/>
        <w:ind w:firstLine="284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635465" w:rsidRDefault="006442C6" w:rsidP="006644EB">
      <w:pPr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ПАО «Сбербанк » является</w:t>
      </w:r>
      <w:r w:rsidR="0063546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самым крупным и надежным банком на территории нашей страны.</w:t>
      </w:r>
      <w:r w:rsidR="006644E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табл. 1 представлены условия инвести</w:t>
      </w:r>
      <w:r w:rsidR="00EA7AE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ционных программ ПАО «Сбербанк».</w:t>
      </w:r>
    </w:p>
    <w:p w:rsidR="00635465" w:rsidRDefault="00635465" w:rsidP="006644EB">
      <w:pPr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635465" w:rsidRPr="00635465" w:rsidRDefault="00950995" w:rsidP="006644EB">
      <w:pPr>
        <w:spacing w:after="0" w:line="264" w:lineRule="auto"/>
        <w:ind w:firstLine="284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3546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ТАБЛИЦА 1</w:t>
      </w:r>
    </w:p>
    <w:p w:rsidR="00635465" w:rsidRDefault="00950995" w:rsidP="006644EB">
      <w:pPr>
        <w:spacing w:after="0" w:line="264" w:lineRule="auto"/>
        <w:ind w:firstLine="284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УСЛОВИЯ ИНВЕСТИЦИОННЫХ ПРОГРАММ</w:t>
      </w:r>
    </w:p>
    <w:p w:rsidR="00C34FA9" w:rsidRDefault="00C34FA9" w:rsidP="006644EB">
      <w:pPr>
        <w:spacing w:after="0" w:line="264" w:lineRule="auto"/>
        <w:ind w:firstLine="284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tbl>
      <w:tblPr>
        <w:tblStyle w:val="a4"/>
        <w:tblW w:w="7628" w:type="dxa"/>
        <w:jc w:val="center"/>
        <w:tblInd w:w="-3451" w:type="dxa"/>
        <w:tblLook w:val="04A0" w:firstRow="1" w:lastRow="0" w:firstColumn="1" w:lastColumn="0" w:noHBand="0" w:noVBand="1"/>
      </w:tblPr>
      <w:tblGrid>
        <w:gridCol w:w="417"/>
        <w:gridCol w:w="2172"/>
        <w:gridCol w:w="1529"/>
        <w:gridCol w:w="1184"/>
        <w:gridCol w:w="2326"/>
      </w:tblGrid>
      <w:tr w:rsidR="006644EB" w:rsidTr="00A85AD4">
        <w:trPr>
          <w:jc w:val="center"/>
        </w:trPr>
        <w:tc>
          <w:tcPr>
            <w:tcW w:w="417" w:type="dxa"/>
          </w:tcPr>
          <w:p w:rsidR="006644EB" w:rsidRPr="006644EB" w:rsidRDefault="006644EB" w:rsidP="006644E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644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2172" w:type="dxa"/>
          </w:tcPr>
          <w:p w:rsidR="006644EB" w:rsidRPr="006644EB" w:rsidRDefault="006644EB" w:rsidP="006644E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644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Название програ</w:t>
            </w:r>
            <w:r w:rsidRPr="006644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м</w:t>
            </w:r>
            <w:r w:rsidRPr="006644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мы</w:t>
            </w:r>
          </w:p>
        </w:tc>
        <w:tc>
          <w:tcPr>
            <w:tcW w:w="1529" w:type="dxa"/>
          </w:tcPr>
          <w:p w:rsidR="006644EB" w:rsidRPr="006644EB" w:rsidRDefault="006644EB" w:rsidP="006644E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644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Минимальная сумма, руб.</w:t>
            </w:r>
          </w:p>
        </w:tc>
        <w:tc>
          <w:tcPr>
            <w:tcW w:w="1184" w:type="dxa"/>
          </w:tcPr>
          <w:p w:rsidR="006644EB" w:rsidRPr="006644EB" w:rsidRDefault="006644EB" w:rsidP="006644E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644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Срок вложения, лет</w:t>
            </w:r>
          </w:p>
        </w:tc>
        <w:tc>
          <w:tcPr>
            <w:tcW w:w="2326" w:type="dxa"/>
          </w:tcPr>
          <w:p w:rsidR="006644EB" w:rsidRPr="006644EB" w:rsidRDefault="006644EB" w:rsidP="006644E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644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Процентная ставка,%</w:t>
            </w:r>
          </w:p>
        </w:tc>
      </w:tr>
      <w:tr w:rsidR="006644EB" w:rsidTr="00A85AD4">
        <w:trPr>
          <w:jc w:val="center"/>
        </w:trPr>
        <w:tc>
          <w:tcPr>
            <w:tcW w:w="417" w:type="dxa"/>
          </w:tcPr>
          <w:p w:rsidR="006644EB" w:rsidRDefault="006644EB" w:rsidP="006644E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172" w:type="dxa"/>
          </w:tcPr>
          <w:p w:rsidR="006644EB" w:rsidRDefault="006644EB" w:rsidP="006644EB">
            <w:pPr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Инвестиционный счет</w:t>
            </w:r>
          </w:p>
        </w:tc>
        <w:tc>
          <w:tcPr>
            <w:tcW w:w="1529" w:type="dxa"/>
          </w:tcPr>
          <w:p w:rsidR="006644EB" w:rsidRDefault="006644EB" w:rsidP="006644E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50 000</w:t>
            </w:r>
          </w:p>
        </w:tc>
        <w:tc>
          <w:tcPr>
            <w:tcW w:w="1184" w:type="dxa"/>
          </w:tcPr>
          <w:p w:rsidR="006644EB" w:rsidRDefault="006644EB" w:rsidP="006644E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326" w:type="dxa"/>
          </w:tcPr>
          <w:p w:rsidR="006644EB" w:rsidRDefault="006644EB" w:rsidP="006644E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 13</w:t>
            </w:r>
          </w:p>
        </w:tc>
      </w:tr>
      <w:tr w:rsidR="006644EB" w:rsidTr="00A85AD4">
        <w:trPr>
          <w:jc w:val="center"/>
        </w:trPr>
        <w:tc>
          <w:tcPr>
            <w:tcW w:w="417" w:type="dxa"/>
          </w:tcPr>
          <w:p w:rsidR="006644EB" w:rsidRDefault="006644EB" w:rsidP="006644E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172" w:type="dxa"/>
          </w:tcPr>
          <w:p w:rsidR="006644EB" w:rsidRDefault="006644EB" w:rsidP="006644EB">
            <w:pPr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Паевые инвестицио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ные фонды Сбербанка</w:t>
            </w:r>
          </w:p>
        </w:tc>
        <w:tc>
          <w:tcPr>
            <w:tcW w:w="1529" w:type="dxa"/>
          </w:tcPr>
          <w:p w:rsidR="006644EB" w:rsidRDefault="006644EB" w:rsidP="006644E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644EB" w:rsidRDefault="006644EB" w:rsidP="006644E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1000</w:t>
            </w:r>
          </w:p>
        </w:tc>
        <w:tc>
          <w:tcPr>
            <w:tcW w:w="1184" w:type="dxa"/>
          </w:tcPr>
          <w:p w:rsidR="006644EB" w:rsidRDefault="006644EB" w:rsidP="006644E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644EB" w:rsidRDefault="006644EB" w:rsidP="006644E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 1</w:t>
            </w:r>
          </w:p>
        </w:tc>
        <w:tc>
          <w:tcPr>
            <w:tcW w:w="2326" w:type="dxa"/>
          </w:tcPr>
          <w:p w:rsidR="006644EB" w:rsidRDefault="006644EB" w:rsidP="006644E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644EB" w:rsidRDefault="006644EB" w:rsidP="006644E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13-27</w:t>
            </w:r>
          </w:p>
        </w:tc>
      </w:tr>
      <w:tr w:rsidR="006644EB" w:rsidTr="00A85AD4">
        <w:trPr>
          <w:jc w:val="center"/>
        </w:trPr>
        <w:tc>
          <w:tcPr>
            <w:tcW w:w="417" w:type="dxa"/>
          </w:tcPr>
          <w:p w:rsidR="006644EB" w:rsidRDefault="006644EB" w:rsidP="006644E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172" w:type="dxa"/>
          </w:tcPr>
          <w:p w:rsidR="006644EB" w:rsidRDefault="006644EB" w:rsidP="006644EB">
            <w:pPr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Защищённая инвест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ционная программа</w:t>
            </w:r>
          </w:p>
        </w:tc>
        <w:tc>
          <w:tcPr>
            <w:tcW w:w="1529" w:type="dxa"/>
          </w:tcPr>
          <w:p w:rsidR="006644EB" w:rsidRDefault="006644EB" w:rsidP="006644E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644EB" w:rsidRDefault="006644EB" w:rsidP="006644E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100 000</w:t>
            </w:r>
          </w:p>
        </w:tc>
        <w:tc>
          <w:tcPr>
            <w:tcW w:w="1184" w:type="dxa"/>
          </w:tcPr>
          <w:p w:rsidR="006644EB" w:rsidRDefault="006644EB" w:rsidP="006644E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644EB" w:rsidRDefault="006644EB" w:rsidP="006644E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5, 7, 10</w:t>
            </w:r>
          </w:p>
        </w:tc>
        <w:tc>
          <w:tcPr>
            <w:tcW w:w="2326" w:type="dxa"/>
          </w:tcPr>
          <w:p w:rsidR="006644EB" w:rsidRDefault="006644EB" w:rsidP="006644E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Без </w:t>
            </w:r>
          </w:p>
          <w:p w:rsidR="006644EB" w:rsidRDefault="006644EB" w:rsidP="006644E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ограничений</w:t>
            </w:r>
          </w:p>
        </w:tc>
      </w:tr>
      <w:tr w:rsidR="006644EB" w:rsidTr="00A85AD4">
        <w:trPr>
          <w:jc w:val="center"/>
        </w:trPr>
        <w:tc>
          <w:tcPr>
            <w:tcW w:w="417" w:type="dxa"/>
          </w:tcPr>
          <w:p w:rsidR="006644EB" w:rsidRDefault="006644EB" w:rsidP="006644E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172" w:type="dxa"/>
          </w:tcPr>
          <w:p w:rsidR="006644EB" w:rsidRDefault="006644EB" w:rsidP="006644EB">
            <w:pPr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Простые инвестиции</w:t>
            </w:r>
          </w:p>
        </w:tc>
        <w:tc>
          <w:tcPr>
            <w:tcW w:w="1529" w:type="dxa"/>
          </w:tcPr>
          <w:p w:rsidR="006644EB" w:rsidRDefault="006644EB" w:rsidP="006644E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100 000</w:t>
            </w:r>
          </w:p>
        </w:tc>
        <w:tc>
          <w:tcPr>
            <w:tcW w:w="1184" w:type="dxa"/>
          </w:tcPr>
          <w:p w:rsidR="006644EB" w:rsidRDefault="006644EB" w:rsidP="006644E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 1</w:t>
            </w:r>
          </w:p>
        </w:tc>
        <w:tc>
          <w:tcPr>
            <w:tcW w:w="2326" w:type="dxa"/>
          </w:tcPr>
          <w:p w:rsidR="006644EB" w:rsidRDefault="006644EB" w:rsidP="006644E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 8,8</w:t>
            </w:r>
          </w:p>
        </w:tc>
      </w:tr>
    </w:tbl>
    <w:p w:rsidR="00C34FA9" w:rsidRDefault="00C34FA9" w:rsidP="006644EB">
      <w:pPr>
        <w:spacing w:after="0" w:line="264" w:lineRule="auto"/>
        <w:ind w:firstLine="284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6644EB" w:rsidRDefault="002F69A1" w:rsidP="0024427F">
      <w:pPr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Согласно табл. 1</w:t>
      </w:r>
      <w:r w:rsidR="006644E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="00EA7AE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ПАО «Сбербанк» предлагает </w:t>
      </w:r>
      <w:r w:rsidR="006644E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физическим лицам четыре вида программ по инвестиров</w:t>
      </w:r>
      <w:r w:rsidR="006644E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</w:t>
      </w:r>
      <w:r w:rsidR="006644E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нию. </w:t>
      </w:r>
      <w:r w:rsidR="003C6B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</w:t>
      </w:r>
      <w:r w:rsidR="006644E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рограм</w:t>
      </w:r>
      <w:r w:rsidR="003C6B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мы</w:t>
      </w:r>
      <w:r w:rsidR="00EA7AE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гарантируют государственный</w:t>
      </w:r>
      <w:r w:rsidR="006644E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налоговый вычет в размере 13%.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Как можно заметить, мин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мальные суммы для участия в инвестиционных проектах не велики. Это доказывает, что  каждый человек см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жет найти для себя подходящую ему программу.</w:t>
      </w:r>
      <w:r w:rsidR="00EC0A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На графике представлена доходность в процентах по инвест</w:t>
      </w:r>
      <w:r w:rsidR="00EC0A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</w:t>
      </w:r>
      <w:r w:rsidR="00EC0A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ционным про</w:t>
      </w:r>
      <w:r w:rsidR="003C6B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граммам за 2014</w:t>
      </w:r>
      <w:r w:rsidR="00EC0A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-2016 гг.</w:t>
      </w:r>
    </w:p>
    <w:p w:rsidR="00EC0A83" w:rsidRDefault="00EC0A83" w:rsidP="006644EB">
      <w:pPr>
        <w:spacing w:after="0" w:line="264" w:lineRule="auto"/>
        <w:ind w:firstLine="284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EC0A83" w:rsidRDefault="00EC0A83" w:rsidP="006442C6">
      <w:pPr>
        <w:spacing w:after="0" w:line="264" w:lineRule="auto"/>
        <w:ind w:firstLine="284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F9227C5" wp14:editId="450C707C">
            <wp:extent cx="5658929" cy="204446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F69A1" w:rsidRDefault="002F69A1" w:rsidP="006644EB">
      <w:pPr>
        <w:spacing w:after="0" w:line="264" w:lineRule="auto"/>
        <w:ind w:firstLine="284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2F69A1" w:rsidRDefault="006442C6" w:rsidP="006442C6">
      <w:pPr>
        <w:spacing w:after="0" w:line="264" w:lineRule="auto"/>
        <w:ind w:firstLine="284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Рис. 1. Доходность инвестиционных программ, %</w:t>
      </w:r>
    </w:p>
    <w:p w:rsidR="006442C6" w:rsidRDefault="006442C6" w:rsidP="006442C6">
      <w:pPr>
        <w:spacing w:after="0" w:line="264" w:lineRule="auto"/>
        <w:ind w:firstLine="284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950995" w:rsidRDefault="006442C6" w:rsidP="0095099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 рис. 1. видно, что по сравнению с 201</w:t>
      </w:r>
      <w:r w:rsidR="0024427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годом, в 2016 году процентные ставки растут, что говорит о  д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намичном развитии инвестиционных программ для физи</w:t>
      </w:r>
      <w:r w:rsidR="0095099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ческих лиц.</w:t>
      </w:r>
      <w:r w:rsidR="003C6B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EA7AE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3C6B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 рис. 2. Представлена динамика уровня инфляции в России за 2014-2016 гг.</w:t>
      </w:r>
    </w:p>
    <w:p w:rsidR="00950995" w:rsidRDefault="00950995" w:rsidP="00950995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E83A55" w:rsidRDefault="001A292E" w:rsidP="001A292E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423DBFD3" wp14:editId="55F4D62C">
            <wp:extent cx="4822166" cy="1518249"/>
            <wp:effectExtent l="0" t="0" r="0" b="63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A292E" w:rsidRDefault="001A292E" w:rsidP="001A292E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1A292E" w:rsidRDefault="001A292E" w:rsidP="001A292E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Рис. 2.</w:t>
      </w:r>
      <w:r w:rsidR="00F631D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Динамика уровня инфляции в России, %</w:t>
      </w:r>
    </w:p>
    <w:p w:rsidR="00F631D9" w:rsidRDefault="00F631D9" w:rsidP="001A292E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F631D9" w:rsidRDefault="00F631D9" w:rsidP="00F631D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 рис. 2. прослеживается изменение уровня инфляции. В 2014 году одна составляла 11.36%, в 2015 году увеличилась од 12.91%, а в 2016 году резко сократилась до 5,38%.</w:t>
      </w:r>
    </w:p>
    <w:p w:rsidR="00F631D9" w:rsidRDefault="00F631D9" w:rsidP="00F631D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950995" w:rsidRDefault="00950995" w:rsidP="00950995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5099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IV. РЕЗУЛЬТАТЫ ЭКСПЕРИМЕНТОВ</w:t>
      </w:r>
    </w:p>
    <w:p w:rsidR="00950995" w:rsidRDefault="00950995" w:rsidP="0095099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950995" w:rsidRDefault="0024427F" w:rsidP="00A85AD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Исходя из выше представленных диаграмм</w:t>
      </w:r>
      <w:r w:rsidR="001E32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можно увидеть, что доходность инвестиций увеличи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вается, в то время как уровень инфляции падает.</w:t>
      </w:r>
      <w:r w:rsidR="001E32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Самая высокая доходность была зафиксирована в программе «Паевые и</w:t>
      </w:r>
      <w:r w:rsidR="001E32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</w:t>
      </w:r>
      <w:r w:rsidR="001E32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вестиционные фонды Сбербанка». Величина возврата денежных средств составила 127% </w:t>
      </w:r>
      <w:r w:rsidR="0090494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2016 году </w:t>
      </w:r>
      <w:r w:rsidR="001E32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(100% вложенных средств и 27%  инвестиционный доход).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За анализируемый период уровень инфляции достиг наивыс</w:t>
      </w:r>
      <w:r w:rsidR="008C107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шего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8C107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уровня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2015 году и составил 12,91%.</w:t>
      </w:r>
    </w:p>
    <w:p w:rsidR="001E3209" w:rsidRPr="00A85AD4" w:rsidRDefault="001E3209" w:rsidP="00A85AD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1E3209" w:rsidRPr="00A85AD4" w:rsidRDefault="00A85AD4" w:rsidP="00A85AD4">
      <w:pPr>
        <w:spacing w:after="0" w:line="240" w:lineRule="auto"/>
        <w:jc w:val="center"/>
        <w:rPr>
          <w:rFonts w:ascii="Times New Roman" w:hAnsi="Times New Roman" w:cs="Times New Roman"/>
          <w:smallCaps/>
          <w:color w:val="000000"/>
          <w:sz w:val="20"/>
          <w:szCs w:val="20"/>
        </w:rPr>
      </w:pPr>
      <w:r w:rsidRPr="00A85AD4">
        <w:rPr>
          <w:rFonts w:ascii="Times New Roman" w:hAnsi="Times New Roman" w:cs="Times New Roman"/>
          <w:smallCaps/>
          <w:color w:val="000000"/>
          <w:sz w:val="20"/>
          <w:szCs w:val="20"/>
        </w:rPr>
        <w:t>V. ОБСУЖДЕНИЕ РЕЗУЛЬТАТОВ</w:t>
      </w:r>
    </w:p>
    <w:p w:rsidR="00A85AD4" w:rsidRDefault="00A85AD4" w:rsidP="00A85AD4">
      <w:pPr>
        <w:spacing w:after="0" w:line="240" w:lineRule="auto"/>
        <w:jc w:val="center"/>
        <w:rPr>
          <w:rFonts w:ascii="Times New Roman" w:hAnsi="Times New Roman" w:cs="Times New Roman"/>
          <w:smallCaps/>
          <w:color w:val="000000"/>
          <w:sz w:val="20"/>
          <w:szCs w:val="20"/>
        </w:rPr>
      </w:pPr>
    </w:p>
    <w:p w:rsidR="00A85AD4" w:rsidRDefault="0024427F" w:rsidP="00A85AD4">
      <w:pPr>
        <w:spacing w:after="0" w:line="240" w:lineRule="auto"/>
        <w:ind w:firstLine="284"/>
        <w:jc w:val="both"/>
        <w:rPr>
          <w:rFonts w:ascii="Times New Roman" w:hAnsi="Times New Roman" w:cs="Times New Roman"/>
          <w:smallCaps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Обратим внимание, что </w:t>
      </w:r>
      <w:r w:rsidR="003C6B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2015 году  уровень доходности трех инвестиционных программ</w:t>
      </w:r>
      <w:r w:rsidR="006146A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(«Паевые инв</w:t>
      </w:r>
      <w:r w:rsidR="006146A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</w:t>
      </w:r>
      <w:r w:rsidR="006146A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стиционные фонды Сбербанка», «Защищенная инвестиционная программа», «Простые инвестиции»)</w:t>
      </w:r>
      <w:r w:rsidR="003C6B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6146A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занимал среднее положение. </w:t>
      </w:r>
      <w:r w:rsidR="003C6B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6146A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2016 году уровень инфляции резко сократился до 5,38%. </w:t>
      </w:r>
      <w:r w:rsidR="00CC529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Однако, в этот период дохо</w:t>
      </w:r>
      <w:r w:rsidR="00CC529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</w:t>
      </w:r>
      <w:r w:rsidR="00CC529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ность трех инвестиционных программ </w:t>
      </w:r>
      <w:r w:rsidR="006146A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(«Паевые инвестиционные фонды Сбербанка», «Защищенная инвестиц</w:t>
      </w:r>
      <w:r w:rsidR="006146A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</w:t>
      </w:r>
      <w:r w:rsidR="006146A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онная программа», «Простые инвестиции») </w:t>
      </w:r>
      <w:r w:rsidR="00CC529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была наиболее высокой</w:t>
      </w:r>
      <w:r w:rsidR="006146A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Программа «Инвестиционный счет» в 2015 году достигла наивысшей точки в 24%, а  2016 году составила 21%.</w:t>
      </w:r>
    </w:p>
    <w:p w:rsidR="00A85AD4" w:rsidRDefault="00A85AD4" w:rsidP="00A85AD4">
      <w:pPr>
        <w:spacing w:after="0" w:line="240" w:lineRule="auto"/>
        <w:ind w:firstLine="284"/>
        <w:jc w:val="center"/>
        <w:rPr>
          <w:rFonts w:ascii="Times New Roman" w:hAnsi="Times New Roman" w:cs="Times New Roman"/>
          <w:smallCaps/>
          <w:color w:val="000000"/>
          <w:sz w:val="20"/>
          <w:szCs w:val="20"/>
        </w:rPr>
      </w:pPr>
    </w:p>
    <w:p w:rsidR="00A85AD4" w:rsidRDefault="00A85AD4" w:rsidP="00A85AD4">
      <w:pPr>
        <w:spacing w:after="0" w:line="240" w:lineRule="auto"/>
        <w:ind w:firstLine="284"/>
        <w:jc w:val="center"/>
        <w:rPr>
          <w:rFonts w:ascii="Times New Roman" w:hAnsi="Times New Roman" w:cs="Times New Roman"/>
          <w:smallCaps/>
          <w:color w:val="000000"/>
          <w:sz w:val="20"/>
          <w:szCs w:val="20"/>
        </w:rPr>
      </w:pPr>
      <w:r w:rsidRPr="00A85AD4">
        <w:rPr>
          <w:rFonts w:ascii="Times New Roman" w:hAnsi="Times New Roman" w:cs="Times New Roman"/>
          <w:smallCaps/>
          <w:color w:val="000000"/>
          <w:sz w:val="20"/>
          <w:szCs w:val="20"/>
        </w:rPr>
        <w:t>VI. ВЫВОДЫ И ЗАКЛЮЧЕНИЕ</w:t>
      </w:r>
    </w:p>
    <w:p w:rsidR="00A85AD4" w:rsidRDefault="00A85AD4" w:rsidP="00A85AD4">
      <w:pPr>
        <w:spacing w:after="0" w:line="240" w:lineRule="auto"/>
        <w:ind w:firstLine="284"/>
        <w:jc w:val="center"/>
        <w:rPr>
          <w:rFonts w:ascii="Times New Roman" w:hAnsi="Times New Roman" w:cs="Times New Roman"/>
          <w:smallCaps/>
          <w:color w:val="000000"/>
          <w:sz w:val="20"/>
          <w:szCs w:val="20"/>
        </w:rPr>
      </w:pPr>
    </w:p>
    <w:p w:rsidR="00A85AD4" w:rsidRDefault="0024427F" w:rsidP="001F5FC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Увеличение  доли средств физических лиц в инвестиционных программах является актуальным направлен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ем в политике ПАО «Сбербанк». На сегодняшний день каждый человек может стать владельцем тех или иных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 xml:space="preserve">инвестиций. </w:t>
      </w:r>
      <w:r w:rsidR="00A85A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Таким образом, инвестиционные программы ПАО «Сбербанк» для физических лиц являются о</w:t>
      </w:r>
      <w:r w:rsidR="00A85A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</w:t>
      </w:r>
      <w:r w:rsidR="00A85A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щедоступными и лояльными. Доходность  инвестиций  динамично увеличивается, </w:t>
      </w:r>
      <w:r w:rsidR="006146A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то время как уровень и</w:t>
      </w:r>
      <w:r w:rsidR="006146A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</w:t>
      </w:r>
      <w:r w:rsidR="006146A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фляции стремительно сокращается. Это</w:t>
      </w:r>
      <w:r w:rsidR="00A85A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дает  возможность спрогнозировать дальнейшее увеличение инвест</w:t>
      </w:r>
      <w:r w:rsidR="00A85A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</w:t>
      </w:r>
      <w:r w:rsidR="00A85A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ций физических лиц. </w:t>
      </w:r>
      <w:r w:rsidR="001F5FC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Можно предположить, что такие изменения могут стать хорошим толчком для развития внутреннего рынка инвестиций  физических лиц в России. </w:t>
      </w:r>
    </w:p>
    <w:p w:rsidR="0090494E" w:rsidRDefault="0090494E" w:rsidP="001F5FC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90494E" w:rsidRDefault="0090494E" w:rsidP="003027AB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0494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ИСТОЧНИК ФИНАНСИРОВАНИЯ. БЛАГОДАРНОСТИ</w:t>
      </w:r>
    </w:p>
    <w:p w:rsidR="0090494E" w:rsidRDefault="0090494E" w:rsidP="003027AB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90494E" w:rsidRDefault="0090494E" w:rsidP="003027A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Научный руководитель: </w:t>
      </w:r>
      <w:r w:rsidR="00665819" w:rsidRPr="0066581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Ч</w:t>
      </w:r>
      <w:r w:rsidR="0066581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ижик</w:t>
      </w:r>
      <w:r w:rsidR="00665819" w:rsidRPr="0066581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Вера Павловна</w:t>
      </w:r>
      <w:r w:rsidR="0066581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д</w:t>
      </w:r>
      <w:r w:rsidR="00665819" w:rsidRPr="0066581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оцен</w:t>
      </w:r>
      <w:r w:rsidR="0066581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т.</w:t>
      </w:r>
    </w:p>
    <w:p w:rsidR="00665819" w:rsidRDefault="00665819" w:rsidP="003027A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665819" w:rsidRDefault="00665819" w:rsidP="003027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5819">
        <w:rPr>
          <w:rFonts w:ascii="Times New Roman" w:hAnsi="Times New Roman" w:cs="Times New Roman"/>
          <w:sz w:val="20"/>
          <w:szCs w:val="20"/>
        </w:rPr>
        <w:t>СПИСОК ЛИТЕРАТУРЫ</w:t>
      </w:r>
    </w:p>
    <w:p w:rsidR="003027AB" w:rsidRDefault="003027AB" w:rsidP="003027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65819" w:rsidRDefault="003027AB" w:rsidP="003027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665819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65819">
        <w:rPr>
          <w:rFonts w:ascii="Times New Roman" w:hAnsi="Times New Roman" w:cs="Times New Roman"/>
          <w:sz w:val="20"/>
          <w:szCs w:val="20"/>
        </w:rPr>
        <w:t xml:space="preserve">Краевский И. С. </w:t>
      </w:r>
      <w:r w:rsidR="00665819" w:rsidRPr="00665819">
        <w:rPr>
          <w:rFonts w:ascii="Times New Roman" w:hAnsi="Times New Roman" w:cs="Times New Roman"/>
          <w:sz w:val="20"/>
          <w:szCs w:val="20"/>
        </w:rPr>
        <w:t>Инвестиции физических лиц в экономику: как повысить активность?</w:t>
      </w:r>
      <w:r w:rsidR="00665819">
        <w:rPr>
          <w:rFonts w:ascii="Times New Roman" w:hAnsi="Times New Roman" w:cs="Times New Roman"/>
          <w:sz w:val="20"/>
          <w:szCs w:val="20"/>
        </w:rPr>
        <w:t xml:space="preserve"> // Российское предпр</w:t>
      </w:r>
      <w:r w:rsidR="00665819">
        <w:rPr>
          <w:rFonts w:ascii="Times New Roman" w:hAnsi="Times New Roman" w:cs="Times New Roman"/>
          <w:sz w:val="20"/>
          <w:szCs w:val="20"/>
        </w:rPr>
        <w:t>и</w:t>
      </w:r>
      <w:r w:rsidR="00665819">
        <w:rPr>
          <w:rFonts w:ascii="Times New Roman" w:hAnsi="Times New Roman" w:cs="Times New Roman"/>
          <w:sz w:val="20"/>
          <w:szCs w:val="20"/>
        </w:rPr>
        <w:t>нимательство. 2012. № 14. С. 82-84.</w:t>
      </w:r>
    </w:p>
    <w:p w:rsidR="003027AB" w:rsidRDefault="003027AB" w:rsidP="003027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3027AB">
        <w:rPr>
          <w:rFonts w:ascii="Times New Roman" w:hAnsi="Times New Roman" w:cs="Times New Roman"/>
          <w:sz w:val="20"/>
          <w:szCs w:val="20"/>
        </w:rPr>
        <w:t>. Могилат А. Н. Прямые иностранные инвестиции в реальный сектор российской экономики: взгляд с микр</w:t>
      </w:r>
      <w:r w:rsidRPr="003027AB">
        <w:rPr>
          <w:rFonts w:ascii="Times New Roman" w:hAnsi="Times New Roman" w:cs="Times New Roman"/>
          <w:sz w:val="20"/>
          <w:szCs w:val="20"/>
        </w:rPr>
        <w:t>о</w:t>
      </w:r>
      <w:r w:rsidRPr="003027AB">
        <w:rPr>
          <w:rFonts w:ascii="Times New Roman" w:hAnsi="Times New Roman" w:cs="Times New Roman"/>
          <w:sz w:val="20"/>
          <w:szCs w:val="20"/>
        </w:rPr>
        <w:t>уровня и пр</w:t>
      </w:r>
      <w:r w:rsidRPr="003027AB">
        <w:rPr>
          <w:rFonts w:ascii="Times New Roman" w:hAnsi="Times New Roman" w:cs="Times New Roman"/>
          <w:sz w:val="20"/>
          <w:szCs w:val="20"/>
        </w:rPr>
        <w:t>о</w:t>
      </w:r>
      <w:r w:rsidRPr="003027AB">
        <w:rPr>
          <w:rFonts w:ascii="Times New Roman" w:hAnsi="Times New Roman" w:cs="Times New Roman"/>
          <w:sz w:val="20"/>
          <w:szCs w:val="20"/>
        </w:rPr>
        <w:t>гноз до 2017 года</w:t>
      </w:r>
      <w:r>
        <w:rPr>
          <w:rFonts w:ascii="Times New Roman" w:hAnsi="Times New Roman" w:cs="Times New Roman"/>
          <w:sz w:val="20"/>
          <w:szCs w:val="20"/>
        </w:rPr>
        <w:t xml:space="preserve"> //Вопросы экономики. 2015. №6. С. 22-44.</w:t>
      </w:r>
    </w:p>
    <w:p w:rsidR="003027AB" w:rsidRPr="00665819" w:rsidRDefault="003027AB" w:rsidP="003027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.</w:t>
      </w:r>
      <w:r w:rsidRPr="003027AB">
        <w:t xml:space="preserve"> </w:t>
      </w:r>
      <w:r w:rsidRPr="003027AB">
        <w:rPr>
          <w:rFonts w:ascii="Times New Roman" w:hAnsi="Times New Roman" w:cs="Times New Roman"/>
          <w:sz w:val="20"/>
          <w:szCs w:val="20"/>
        </w:rPr>
        <w:t>Татаркин Д</w:t>
      </w:r>
      <w:r>
        <w:rPr>
          <w:rFonts w:ascii="Times New Roman" w:hAnsi="Times New Roman" w:cs="Times New Roman"/>
          <w:sz w:val="20"/>
          <w:szCs w:val="20"/>
        </w:rPr>
        <w:t xml:space="preserve">. А., Сидорова Е. Н., </w:t>
      </w:r>
      <w:proofErr w:type="spellStart"/>
      <w:r>
        <w:rPr>
          <w:rFonts w:ascii="Times New Roman" w:hAnsi="Times New Roman" w:cs="Times New Roman"/>
          <w:sz w:val="20"/>
          <w:szCs w:val="20"/>
        </w:rPr>
        <w:t>Трынов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А.</w:t>
      </w:r>
      <w:r w:rsidRPr="003027AB">
        <w:rPr>
          <w:rFonts w:ascii="Times New Roman" w:hAnsi="Times New Roman" w:cs="Times New Roman"/>
          <w:sz w:val="20"/>
          <w:szCs w:val="20"/>
        </w:rPr>
        <w:t xml:space="preserve"> В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3027AB">
        <w:rPr>
          <w:rFonts w:ascii="Times New Roman" w:hAnsi="Times New Roman" w:cs="Times New Roman"/>
          <w:sz w:val="20"/>
          <w:szCs w:val="20"/>
        </w:rPr>
        <w:t>Оптимизация управления финансовыми потоками на основе оценки региональных мультипликативных эффектов</w:t>
      </w:r>
      <w:r>
        <w:rPr>
          <w:rFonts w:ascii="Times New Roman" w:hAnsi="Times New Roman" w:cs="Times New Roman"/>
          <w:sz w:val="20"/>
          <w:szCs w:val="20"/>
        </w:rPr>
        <w:t xml:space="preserve"> //Экономика региона. 2015. №4(44). С. 3</w:t>
      </w:r>
      <w:r w:rsidRPr="003027AB">
        <w:rPr>
          <w:rFonts w:ascii="Times New Roman" w:hAnsi="Times New Roman" w:cs="Times New Roman"/>
          <w:sz w:val="20"/>
          <w:szCs w:val="20"/>
        </w:rPr>
        <w:t>23-335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3027AB" w:rsidRPr="00665819" w:rsidSect="00B02AA7"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FAD"/>
    <w:rsid w:val="00013711"/>
    <w:rsid w:val="00083FAD"/>
    <w:rsid w:val="001A292E"/>
    <w:rsid w:val="001E3209"/>
    <w:rsid w:val="001F5FC6"/>
    <w:rsid w:val="0024427F"/>
    <w:rsid w:val="00267271"/>
    <w:rsid w:val="002F69A1"/>
    <w:rsid w:val="003027AB"/>
    <w:rsid w:val="0035731C"/>
    <w:rsid w:val="00390B4A"/>
    <w:rsid w:val="003C6BD4"/>
    <w:rsid w:val="004D5AC5"/>
    <w:rsid w:val="005A5FD6"/>
    <w:rsid w:val="006146AB"/>
    <w:rsid w:val="00635465"/>
    <w:rsid w:val="006442C6"/>
    <w:rsid w:val="006644EB"/>
    <w:rsid w:val="00665819"/>
    <w:rsid w:val="006D7530"/>
    <w:rsid w:val="008423FD"/>
    <w:rsid w:val="008C1074"/>
    <w:rsid w:val="0090494E"/>
    <w:rsid w:val="00950995"/>
    <w:rsid w:val="00A36E88"/>
    <w:rsid w:val="00A8538D"/>
    <w:rsid w:val="00A85AD4"/>
    <w:rsid w:val="00B02AA7"/>
    <w:rsid w:val="00C315F3"/>
    <w:rsid w:val="00C34FA9"/>
    <w:rsid w:val="00CC5293"/>
    <w:rsid w:val="00E83A55"/>
    <w:rsid w:val="00EA7AEC"/>
    <w:rsid w:val="00EC0A83"/>
    <w:rsid w:val="00F56DFF"/>
    <w:rsid w:val="00F6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271"/>
    <w:pPr>
      <w:ind w:left="720"/>
      <w:contextualSpacing/>
    </w:pPr>
  </w:style>
  <w:style w:type="table" w:styleId="a4">
    <w:name w:val="Table Grid"/>
    <w:basedOn w:val="a1"/>
    <w:uiPriority w:val="59"/>
    <w:rsid w:val="00C34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0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0A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271"/>
    <w:pPr>
      <w:ind w:left="720"/>
      <w:contextualSpacing/>
    </w:pPr>
  </w:style>
  <w:style w:type="table" w:styleId="a4">
    <w:name w:val="Table Grid"/>
    <w:basedOn w:val="a1"/>
    <w:uiPriority w:val="59"/>
    <w:rsid w:val="00C34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0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0A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6127214263181756E-2"/>
          <c:y val="5.591798695246971E-2"/>
          <c:w val="0.79351304814038137"/>
          <c:h val="0.6400821536825598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3.8155629802034977E-2"/>
                  <c:y val="2.98611712329068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7955694443241781E-2"/>
                  <c:y val="-3.75818970586866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0404040404040407E-2"/>
                  <c:y val="7.52688172043010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1425364758698011E-2"/>
                  <c:y val="5.91397849462365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Инвестиционный счет</c:v>
                </c:pt>
                <c:pt idx="1">
                  <c:v>Паевые инвестиционные фонды Сбербанка</c:v>
                </c:pt>
                <c:pt idx="2">
                  <c:v>Защищённая инвестиционная программа</c:v>
                </c:pt>
                <c:pt idx="3">
                  <c:v>Простые инвестиции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</c:v>
                </c:pt>
                <c:pt idx="1">
                  <c:v>21.5</c:v>
                </c:pt>
                <c:pt idx="2">
                  <c:v>19</c:v>
                </c:pt>
                <c:pt idx="3">
                  <c:v>10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5.1621428719109214E-2"/>
                  <c:y val="-2.68357506521726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8152095564372691E-2"/>
                  <c:y val="5.90775744847561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4689300749311315E-2"/>
                  <c:y val="5.90581129597679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244240915551335E-3"/>
                  <c:y val="2.68357506521726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Инвестиционный счет</c:v>
                </c:pt>
                <c:pt idx="1">
                  <c:v>Паевые инвестиционные фонды Сбербанка</c:v>
                </c:pt>
                <c:pt idx="2">
                  <c:v>Защищённая инвестиционная программа</c:v>
                </c:pt>
                <c:pt idx="3">
                  <c:v>Простые инвестиции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24</c:v>
                </c:pt>
                <c:pt idx="1">
                  <c:v>21</c:v>
                </c:pt>
                <c:pt idx="2">
                  <c:v>22.5</c:v>
                </c:pt>
                <c:pt idx="3">
                  <c:v>11.5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8.9769636622053402E-3"/>
                  <c:y val="5.373073203257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4686650071064683E-2"/>
                  <c:y val="-3.223843921954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2442409155513349E-2"/>
                  <c:y val="-6.44768784390841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3465445493308009E-2"/>
                  <c:y val="-4.29845856260561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Инвестиционный счет</c:v>
                </c:pt>
                <c:pt idx="1">
                  <c:v>Паевые инвестиционные фонды Сбербанка</c:v>
                </c:pt>
                <c:pt idx="2">
                  <c:v>Защищённая инвестиционная программа</c:v>
                </c:pt>
                <c:pt idx="3">
                  <c:v>Простые инвестиции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20.5</c:v>
                </c:pt>
                <c:pt idx="1">
                  <c:v>27</c:v>
                </c:pt>
                <c:pt idx="2">
                  <c:v>23</c:v>
                </c:pt>
                <c:pt idx="3">
                  <c:v>13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5113472"/>
        <c:axId val="85115648"/>
      </c:lineChart>
      <c:catAx>
        <c:axId val="851134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85115648"/>
        <c:crosses val="autoZero"/>
        <c:auto val="1"/>
        <c:lblAlgn val="ctr"/>
        <c:lblOffset val="100"/>
        <c:noMultiLvlLbl val="0"/>
      </c:catAx>
      <c:valAx>
        <c:axId val="85115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8511347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0"/>
                  <c:y val="3.17460317460317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11.36</c:v>
                </c:pt>
                <c:pt idx="1">
                  <c:v>12.91</c:v>
                </c:pt>
                <c:pt idx="2">
                  <c:v>5.38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9704320"/>
        <c:axId val="109705856"/>
      </c:lineChart>
      <c:catAx>
        <c:axId val="109704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09705856"/>
        <c:crosses val="autoZero"/>
        <c:auto val="1"/>
        <c:lblAlgn val="ctr"/>
        <c:lblOffset val="100"/>
        <c:noMultiLvlLbl val="0"/>
      </c:catAx>
      <c:valAx>
        <c:axId val="109705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0970432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6</cp:revision>
  <dcterms:created xsi:type="dcterms:W3CDTF">2017-10-28T04:07:00Z</dcterms:created>
  <dcterms:modified xsi:type="dcterms:W3CDTF">2017-11-07T14:18:00Z</dcterms:modified>
</cp:coreProperties>
</file>