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9" w:rsidRPr="001B7274" w:rsidRDefault="00591589" w:rsidP="00591589">
      <w:pPr>
        <w:spacing w:after="0" w:line="240" w:lineRule="auto"/>
        <w:rPr>
          <w:rFonts w:ascii="Times New Roman" w:eastAsia="MS Mincho" w:hAnsi="Times New Roman" w:cs="Times New Roman"/>
          <w:noProof/>
          <w:sz w:val="28"/>
          <w:szCs w:val="28"/>
          <w:lang w:val="en-US"/>
        </w:rPr>
      </w:pPr>
      <w:r w:rsidRPr="00591589">
        <w:rPr>
          <w:rFonts w:ascii="Times New Roman" w:eastAsia="MS Mincho" w:hAnsi="Times New Roman" w:cs="Times New Roman"/>
          <w:noProof/>
          <w:sz w:val="28"/>
          <w:szCs w:val="28"/>
        </w:rPr>
        <w:t>УДК</w:t>
      </w:r>
      <w:r w:rsidR="001B7274">
        <w:rPr>
          <w:rFonts w:ascii="Times New Roman" w:eastAsia="MS Mincho" w:hAnsi="Times New Roman" w:cs="Times New Roman"/>
          <w:noProof/>
          <w:sz w:val="28"/>
          <w:szCs w:val="28"/>
          <w:lang w:val="en-US"/>
        </w:rPr>
        <w:t xml:space="preserve"> 514</w:t>
      </w:r>
    </w:p>
    <w:p w:rsidR="00591589" w:rsidRDefault="00591589" w:rsidP="00591589">
      <w:pPr>
        <w:spacing w:after="0" w:line="240" w:lineRule="auto"/>
        <w:jc w:val="center"/>
        <w:rPr>
          <w:rFonts w:ascii="Times New Roman" w:eastAsia="MS Mincho" w:hAnsi="Times New Roman" w:cs="Times New Roman"/>
          <w:smallCaps/>
          <w:noProof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</w:rPr>
      </w:pPr>
      <w:r w:rsidRPr="00591589">
        <w:rPr>
          <w:rFonts w:ascii="Times New Roman" w:eastAsia="MS Mincho" w:hAnsi="Times New Roman" w:cs="Times New Roman"/>
          <w:smallCaps/>
          <w:noProof/>
          <w:sz w:val="28"/>
          <w:szCs w:val="28"/>
        </w:rPr>
        <w:t>Н</w:t>
      </w:r>
      <w:r w:rsidRPr="00591589">
        <w:rPr>
          <w:rFonts w:ascii="Times New Roman" w:eastAsia="MS Mincho" w:hAnsi="Times New Roman" w:cs="Times New Roman"/>
          <w:noProof/>
          <w:sz w:val="28"/>
          <w:szCs w:val="28"/>
        </w:rPr>
        <w:t>АЗВАНИЕ СТАТЬИ НА РУССКОМ ЯЗЫКЕ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z w:val="28"/>
          <w:szCs w:val="28"/>
        </w:rPr>
        <w:t>И. О. Фамилия</w:t>
      </w:r>
      <w:proofErr w:type="gramStart"/>
      <w:r w:rsidRPr="0059158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 (первого автора), И. О. Фамилия</w:t>
      </w:r>
      <w:r w:rsidRPr="0059158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 (второго автора)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591589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Организация, в </w:t>
      </w:r>
      <w:proofErr w:type="gramStart"/>
      <w:r w:rsidRPr="00591589">
        <w:rPr>
          <w:rFonts w:ascii="Times New Roman" w:eastAsia="Times New Roman" w:hAnsi="Times New Roman" w:cs="Times New Roman"/>
          <w:i/>
          <w:sz w:val="28"/>
          <w:szCs w:val="28"/>
        </w:rPr>
        <w:t>которой</w:t>
      </w:r>
      <w:proofErr w:type="gramEnd"/>
      <w:r w:rsidRPr="00591589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работает первый автор, город, страна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591589">
        <w:rPr>
          <w:rFonts w:ascii="Times New Roman" w:eastAsia="Times New Roman" w:hAnsi="Times New Roman" w:cs="Times New Roman"/>
          <w:i/>
          <w:sz w:val="28"/>
          <w:szCs w:val="28"/>
        </w:rPr>
        <w:t>Организация, в которой работает второй автор, город, страна</w:t>
      </w: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</w:t>
      </w:r>
      <w:r w:rsidRPr="00591589">
        <w:rPr>
          <w:rFonts w:ascii="Times New Roman" w:eastAsia="Times New Roman" w:hAnsi="Times New Roman" w:cs="Times New Roman"/>
          <w:b/>
          <w:sz w:val="28"/>
          <w:szCs w:val="28"/>
        </w:rPr>
        <w:t xml:space="preserve"> – (От 500 до 1500 знаков, содержащая: актуальность темы, цель, задачи, методы исследования, результаты, выводы)</w:t>
      </w:r>
      <w:proofErr w:type="gramStart"/>
      <w:r w:rsidRPr="005915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татья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обязательном порядке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должна начинаться с аннотации, в которой кратко должны быть указаны основные результаты, представленные в статье. Формат аннотации: текст набирается шрифтом </w:t>
      </w:r>
      <w:proofErr w:type="spellStart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 пунктов жирным стилем, слова «Аннотация» и «Ключевые слова» выделяются </w:t>
      </w:r>
      <w:proofErr w:type="spellStart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курсивом</w:t>
      </w:r>
      <w:proofErr w:type="gramStart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осле</w:t>
      </w:r>
      <w:proofErr w:type="spellEnd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аннотации делается пропуск строки, и в следующей строке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должны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быть указаны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ключевые слова и словосочетания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(не более 5). Ключевые слова должны отражать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предмет исследования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 –</w:t>
      </w:r>
      <w:r w:rsidRPr="005915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образец, оформление, статья.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I</w:t>
      </w: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. Введение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набирается в редакторе </w:t>
      </w:r>
      <w:proofErr w:type="spellStart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MicrosoftWord</w:t>
      </w:r>
      <w:proofErr w:type="spellEnd"/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аналогичном и представляется в формате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Word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2003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Размер бумаги – А 4 (210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4"/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297), все поля – по 2 см. Текст – в одну колонку, шрифт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12пунктов, интервал 1,15. Абзацный отступ – 1,2</w:t>
      </w:r>
      <w:smartTag w:uri="urn:schemas-microsoft-com:office:smarttags" w:element="metricconverter">
        <w:smartTagPr>
          <w:attr w:name="ProductID" w:val="5 мм"/>
        </w:smartTagPr>
        <w:r w:rsidRPr="005915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 мм</w:t>
        </w:r>
      </w:smartTag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 – по ширине.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атьи должен быть в обязательном порядке структурирован с применением стандартных названий разделов: «Введение», «Постановка задачи», «Теория», «Результаты экспериментов», «Выводы и заключение»</w:t>
      </w:r>
      <w:r w:rsidRPr="0059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«Введение» должен быть дан литературный обзор по теме статьи со ссылками на источники из списка литературы, из которого должна вытекать постановка задачи. Задача исследования должна быть сформулирована ясно, с применением специальной терминологии. Теоретические и экспериментальные исследования размещаются, соответственно, в разделах «Теория» и «Результаты экспериментов». Не допускается публикация ранее известных результатов без ссылки на источник цитирования.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Разделы нумеруются римскими цифрами, названия разделов располагаются в центре прописными буквами шрифтом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пунктов.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Переносы в названиях разделов не допускаются.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названия раздела </w:t>
      </w:r>
      <w:r w:rsidRPr="0059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 не ставится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 названием раздела</w:t>
      </w:r>
      <w:r w:rsidR="00D9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 пропу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ск стр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оки. </w:t>
      </w:r>
    </w:p>
    <w:p w:rsidR="00591589" w:rsidRPr="00591589" w:rsidRDefault="00591589" w:rsidP="00591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lastRenderedPageBreak/>
        <w:t>II</w:t>
      </w: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. Постановка задачи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 должны начинаться с названия статьи, расположенного в центре и набранного шрифтом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пункта прописными буквами, точка в конце не ставится.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названия статьи следует пропу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ск стр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оки. Ф.И.O. авторов указываются в центре шрифтом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пунктов. В следующей строке указывается организацию, в которой работают (учатся) авторы (соавторы). Если статья имеет несколько соавторов из разных организаций, то все организации указываются одна под другой. Для указания принадлежности конкретного автора к конкретной организации используется система цифровых надстрочных индексов. Шрифт для указания организаций –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курсив 12 пунктов.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III. Теория</w:t>
      </w:r>
    </w:p>
    <w:p w:rsidR="00591589" w:rsidRPr="00591589" w:rsidRDefault="00591589" w:rsidP="00591589">
      <w:pPr>
        <w:numPr>
          <w:ilvl w:val="0"/>
          <w:numId w:val="1"/>
        </w:numPr>
        <w:tabs>
          <w:tab w:val="clear" w:pos="64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Оформление рисунков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и фотографии должны быть четкие, хорошего качества. Рисунок должен быть сохранен как рисунок в отдельном файле и  вставлен в те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атьи. Вставка рисунка осуществляется непосредственно в текст. 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пунктов. Подписи к рисункам должны быть отформатированы по центру. После подписи к рисунку следует пропустить строку. При ссылке на рисунок в тексте статьи допускается только сокращение «</w:t>
      </w:r>
      <w:proofErr w:type="spellStart"/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.», которое пишется со строчной буквы. </w:t>
      </w: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11450" cy="161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1. Пример оформления рисунка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89" w:rsidRPr="00591589" w:rsidRDefault="00591589" w:rsidP="00591589">
      <w:pPr>
        <w:numPr>
          <w:ilvl w:val="0"/>
          <w:numId w:val="1"/>
        </w:numPr>
        <w:tabs>
          <w:tab w:val="clear" w:pos="64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Оформление таблиц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Таблицы нумеруются арабскими цифрами по порядку следования в тексте. Слово «Таблица» пишется прописными буквами, шрифт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пунктов, и располагается по центру. На следующей строке заглавными буквами пишется название таблицы шрифтом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пунктов. Шрифт для содержимого таблицы устанавливается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пунктов, 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. Табл. 1. Таблица располагается по центру, перед таблицей пропустить строку.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ТАБЛИЦА 1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название таблицы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523"/>
        <w:gridCol w:w="2249"/>
      </w:tblGrid>
      <w:tr w:rsidR="00591589" w:rsidRPr="00591589" w:rsidTr="00AC62A7">
        <w:trPr>
          <w:trHeight w:val="317"/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3" w:type="dxa"/>
            <w:vAlign w:val="center"/>
          </w:tcPr>
          <w:p w:rsidR="00591589" w:rsidRPr="00591589" w:rsidRDefault="00591589" w:rsidP="005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</w:t>
            </w:r>
          </w:p>
        </w:tc>
        <w:tc>
          <w:tcPr>
            <w:tcW w:w="2249" w:type="dxa"/>
            <w:vAlign w:val="center"/>
          </w:tcPr>
          <w:p w:rsidR="00591589" w:rsidRPr="00591589" w:rsidRDefault="00591589" w:rsidP="0059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Times New Roman 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Times New Roman 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Переменная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Times New Roman 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Строчные греческие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Symbol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Прописные греческие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Symbol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Symbol</w:t>
            </w:r>
          </w:p>
        </w:tc>
      </w:tr>
      <w:tr w:rsidR="00591589" w:rsidRPr="00591589" w:rsidTr="00AC62A7">
        <w:trPr>
          <w:jc w:val="center"/>
        </w:trPr>
        <w:tc>
          <w:tcPr>
            <w:tcW w:w="955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3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2249" w:type="dxa"/>
          </w:tcPr>
          <w:p w:rsidR="00591589" w:rsidRPr="00591589" w:rsidRDefault="00591589" w:rsidP="0059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5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</w:tbl>
    <w:p w:rsidR="00591589" w:rsidRPr="00591589" w:rsidRDefault="00591589" w:rsidP="00591589">
      <w:pPr>
        <w:numPr>
          <w:ilvl w:val="0"/>
          <w:numId w:val="1"/>
        </w:numPr>
        <w:tabs>
          <w:tab w:val="clear" w:pos="64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Оформление формул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Формулы набираются в стандартном редакторе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</w:rPr>
        <w:t>MicrosoftEquation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 1 или 2 (Обычный размер 12 </w:t>
      </w:r>
      <w:proofErr w:type="spellStart"/>
      <w:proofErr w:type="gramStart"/>
      <w:r w:rsidRPr="00591589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, Крупный индекс 10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, Мелкий индекс 7пт, Крупный символ 18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</w:rPr>
        <w:t>, Мелкий символ 12 пт.). Формулы должны  располагаться по центру. Например:</w:t>
      </w:r>
    </w:p>
    <w:p w:rsidR="00591589" w:rsidRPr="00591589" w:rsidRDefault="00591589" w:rsidP="00591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37pt" o:ole="">
            <v:imagedata r:id="rId8" o:title=""/>
          </v:shape>
          <o:OLEObject Type="Embed" ProgID="Unknown" ShapeID="_x0000_i1025" DrawAspect="Content" ObjectID="_1759098930" r:id="rId9"/>
        </w:objec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ab/>
      </w:r>
      <w:r w:rsidRPr="00591589">
        <w:rPr>
          <w:rFonts w:ascii="Times New Roman" w:eastAsia="Times New Roman" w:hAnsi="Times New Roman" w:cs="Times New Roman"/>
          <w:sz w:val="28"/>
          <w:szCs w:val="28"/>
        </w:rPr>
        <w:tab/>
      </w:r>
      <w:r w:rsidRPr="005915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(1)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IV. Результаты экспериментов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числовых интервалах физических величин вместо дефиса ставится многоточие (например, 40…50 см).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Аббревиатуры, употребляемые как прилагательные, пишутся через дефис (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К-спектроскопия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ПЭ-пленка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ЖК-состояние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).Аббревиатуры пишутся единообразно по всей статье (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например:ЭДС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э.д.с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КПД или к.п.д.).Градусы Цельсия: </w:t>
      </w:r>
      <w:smartTag w:uri="urn:schemas-microsoft-com:office:smarttags" w:element="metricconverter">
        <w:smartTagPr>
          <w:attr w:name="ProductID" w:val="5ﾰC"/>
        </w:smartTagPr>
        <w:r w:rsidRPr="005915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5°C</w:t>
        </w:r>
      </w:smartTag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5°. Угловые градусы никогда не опускаются: 5°…10°, а не 5…10°; на осях рисунков: θ, град, а не θ°. Размерности переменных пишутся через запятую (E, кДж/моль).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V. Выводы и заключение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литературы указывается отдельным ненумерованным разделом.  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описаны, например, [1]. Нумерация источников производится в порядке цитирования и указывается в квадратных скобках.</w:t>
      </w:r>
    </w:p>
    <w:p w:rsidR="00591589" w:rsidRPr="00591589" w:rsidRDefault="00591589" w:rsidP="00591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Источник финансирования. Благодарности</w:t>
      </w:r>
    </w:p>
    <w:p w:rsidR="00591589" w:rsidRPr="00591589" w:rsidRDefault="00591589" w:rsidP="005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 И. О. Фамилия, должность, звание, организация, в которой работает</w:t>
      </w:r>
      <w:r w:rsidR="00625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руководитель, город, страна.</w:t>
      </w: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Список литературы</w:t>
      </w: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Бакут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П.А.,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Жулина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Ю.В., Иванчук Н.А. Обнаружение движущихся объектов / Под ред. П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Бакута</w:t>
      </w:r>
      <w:proofErr w:type="spell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proofErr w:type="gramStart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адио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1B72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2021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288 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91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91589" w:rsidRPr="00591589" w:rsidRDefault="00591589" w:rsidP="0059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>Khludnev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M.,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>Kovtunenko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V. A. Analysis of cracks in solids. Southampton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>Boston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>WITPress</w:t>
      </w:r>
      <w:proofErr w:type="spellEnd"/>
      <w:r w:rsidRPr="00591589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1B7274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 xml:space="preserve">0. 120 </w:t>
      </w:r>
      <w:r w:rsidRPr="00591589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91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589" w:rsidRPr="00625707" w:rsidRDefault="00591589" w:rsidP="0062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91589">
        <w:rPr>
          <w:rFonts w:ascii="Times New Roman" w:eastAsia="Times New Roman" w:hAnsi="Times New Roman" w:cs="Times New Roman"/>
          <w:bCs/>
          <w:sz w:val="28"/>
          <w:szCs w:val="28"/>
        </w:rPr>
        <w:t>3. Реутов С., Сафронов Е.</w:t>
      </w:r>
      <w:r w:rsidRPr="00591589">
        <w:rPr>
          <w:rFonts w:ascii="Times New Roman" w:eastAsia="Times New Roman" w:hAnsi="Times New Roman" w:cs="Times New Roman"/>
          <w:iCs/>
          <w:sz w:val="28"/>
          <w:szCs w:val="28"/>
        </w:rPr>
        <w:t>Комплектные поставки орудий труда как средство создания</w:t>
      </w:r>
      <w:r w:rsidRPr="0062570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системы машин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 // Вопросы Экономики. </w:t>
      </w:r>
      <w:r w:rsidR="001B7274">
        <w:rPr>
          <w:rFonts w:ascii="Times New Roman" w:eastAsia="Times New Roman" w:hAnsi="Times New Roman" w:cs="Times New Roman"/>
          <w:sz w:val="28"/>
          <w:szCs w:val="28"/>
          <w:lang w:val="en-US"/>
        </w:rPr>
        <w:t>2020</w:t>
      </w:r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№ 1. 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. 57-67.</w:t>
      </w:r>
    </w:p>
    <w:p w:rsidR="00591589" w:rsidRPr="00625707" w:rsidRDefault="00591589" w:rsidP="0062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Khludnev</w:t>
      </w:r>
      <w:proofErr w:type="spellEnd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M., </w:t>
      </w:r>
      <w:proofErr w:type="spellStart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Kovtunenko</w:t>
      </w:r>
      <w:proofErr w:type="spellEnd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V. A. Analysis of cracks in solids. Southampton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Eur</w:t>
      </w:r>
      <w:proofErr w:type="spellEnd"/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. 2017. </w:t>
      </w:r>
      <w:proofErr w:type="spellStart"/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Vol</w:t>
      </w:r>
      <w:proofErr w:type="spellEnd"/>
      <w:r w:rsidRPr="00625707">
        <w:rPr>
          <w:rFonts w:ascii="Times New Roman" w:eastAsia="Times New Roman" w:hAnsi="Times New Roman" w:cs="Times New Roman"/>
          <w:sz w:val="28"/>
          <w:szCs w:val="28"/>
        </w:rPr>
        <w:t>. 2.</w:t>
      </w:r>
      <w:r w:rsidRPr="00625707">
        <w:rPr>
          <w:rFonts w:ascii="Times New Roman" w:eastAsia="Times New Roman" w:hAnsi="Times New Roman" w:cs="Times New Roman"/>
          <w:sz w:val="28"/>
          <w:szCs w:val="28"/>
          <w:lang w:val="en-US"/>
        </w:rPr>
        <w:t>Pp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>. 1-3.</w:t>
      </w:r>
    </w:p>
    <w:p w:rsidR="00591589" w:rsidRPr="00625707" w:rsidRDefault="00591589" w:rsidP="0062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625707">
        <w:rPr>
          <w:rFonts w:ascii="Times New Roman" w:eastAsia="Times New Roman" w:hAnsi="Times New Roman" w:cs="Times New Roman"/>
          <w:sz w:val="28"/>
          <w:szCs w:val="28"/>
        </w:rPr>
        <w:t>Фиценс</w:t>
      </w:r>
      <w:proofErr w:type="spellEnd"/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 Ж. Человеческий капитал: как </w:t>
      </w:r>
      <w:proofErr w:type="gramStart"/>
      <w:r w:rsidRPr="00625707">
        <w:rPr>
          <w:rFonts w:ascii="Times New Roman" w:eastAsia="Times New Roman" w:hAnsi="Times New Roman" w:cs="Times New Roman"/>
          <w:sz w:val="28"/>
          <w:szCs w:val="28"/>
        </w:rPr>
        <w:t>измерить</w:t>
      </w:r>
      <w:proofErr w:type="gramEnd"/>
      <w:r w:rsidRPr="00625707">
        <w:rPr>
          <w:rFonts w:ascii="Times New Roman" w:eastAsia="Times New Roman" w:hAnsi="Times New Roman" w:cs="Times New Roman"/>
          <w:sz w:val="28"/>
          <w:szCs w:val="28"/>
        </w:rPr>
        <w:t xml:space="preserve"> или увеличить его стоимость. М.: Вектор, 2006. 327 с. URL: http://www.eletarium.ru (дата обращения: 30.</w:t>
      </w:r>
      <w:r w:rsidR="001B7274">
        <w:rPr>
          <w:rFonts w:ascii="Times New Roman" w:eastAsia="Times New Roman" w:hAnsi="Times New Roman" w:cs="Times New Roman"/>
          <w:sz w:val="28"/>
          <w:szCs w:val="28"/>
          <w:lang w:val="en-US"/>
        </w:rPr>
        <w:t>09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B727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2570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707" w:rsidRPr="00625707" w:rsidRDefault="00625707" w:rsidP="00625707">
      <w:pPr>
        <w:pStyle w:val="Default"/>
        <w:jc w:val="both"/>
        <w:rPr>
          <w:sz w:val="28"/>
          <w:szCs w:val="28"/>
        </w:rPr>
      </w:pPr>
      <w:r w:rsidRPr="00625707">
        <w:rPr>
          <w:rFonts w:eastAsia="Times New Roman"/>
          <w:sz w:val="28"/>
          <w:szCs w:val="28"/>
        </w:rPr>
        <w:t xml:space="preserve">6. </w:t>
      </w:r>
      <w:r w:rsidRPr="00625707">
        <w:rPr>
          <w:sz w:val="28"/>
          <w:szCs w:val="28"/>
        </w:rPr>
        <w:t xml:space="preserve">Граф Н. Казахская ртуть тревожит </w:t>
      </w:r>
      <w:proofErr w:type="spellStart"/>
      <w:r w:rsidRPr="00625707">
        <w:rPr>
          <w:sz w:val="28"/>
          <w:szCs w:val="28"/>
        </w:rPr>
        <w:t>омичей</w:t>
      </w:r>
      <w:proofErr w:type="spellEnd"/>
      <w:r>
        <w:rPr>
          <w:sz w:val="28"/>
          <w:szCs w:val="28"/>
        </w:rPr>
        <w:t xml:space="preserve"> </w:t>
      </w:r>
      <w:r w:rsidRPr="00625707">
        <w:rPr>
          <w:sz w:val="28"/>
          <w:szCs w:val="28"/>
        </w:rPr>
        <w:t>// Российская газета от 15.08.2011.</w:t>
      </w:r>
      <w:r>
        <w:rPr>
          <w:sz w:val="28"/>
          <w:szCs w:val="28"/>
        </w:rPr>
        <w:t xml:space="preserve"> </w:t>
      </w:r>
      <w:r w:rsidRPr="00625707">
        <w:rPr>
          <w:sz w:val="28"/>
          <w:szCs w:val="28"/>
        </w:rPr>
        <w:t xml:space="preserve">URL: </w:t>
      </w:r>
      <w:hyperlink r:id="rId10" w:history="1">
        <w:r w:rsidRPr="006B6D31">
          <w:rPr>
            <w:rStyle w:val="a9"/>
            <w:sz w:val="28"/>
            <w:szCs w:val="28"/>
          </w:rPr>
          <w:t>http://en.kazgeo.kz/news/2011/08/108.html</w:t>
        </w:r>
      </w:hyperlink>
      <w:r>
        <w:rPr>
          <w:sz w:val="28"/>
          <w:szCs w:val="28"/>
        </w:rPr>
        <w:t xml:space="preserve"> </w:t>
      </w:r>
      <w:r w:rsidRPr="00625707">
        <w:rPr>
          <w:sz w:val="28"/>
          <w:szCs w:val="28"/>
        </w:rPr>
        <w:t>(дата обращения: 02.0</w:t>
      </w:r>
      <w:r w:rsidR="001B7274">
        <w:rPr>
          <w:sz w:val="28"/>
          <w:szCs w:val="28"/>
          <w:lang w:val="en-US"/>
        </w:rPr>
        <w:t>9</w:t>
      </w:r>
      <w:r w:rsidRPr="00625707">
        <w:rPr>
          <w:sz w:val="28"/>
          <w:szCs w:val="28"/>
        </w:rPr>
        <w:t>.202</w:t>
      </w:r>
      <w:r w:rsidR="001B7274">
        <w:rPr>
          <w:sz w:val="28"/>
          <w:szCs w:val="28"/>
          <w:lang w:val="en-US"/>
        </w:rPr>
        <w:t>3</w:t>
      </w:r>
      <w:r w:rsidRPr="00625707">
        <w:rPr>
          <w:sz w:val="28"/>
          <w:szCs w:val="28"/>
        </w:rPr>
        <w:t>).</w:t>
      </w:r>
    </w:p>
    <w:p w:rsidR="00625707" w:rsidRPr="00625707" w:rsidRDefault="00625707" w:rsidP="0062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89" w:rsidRPr="00591589" w:rsidRDefault="00591589" w:rsidP="0059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82" w:rsidRPr="00591589" w:rsidRDefault="00437182" w:rsidP="0059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182" w:rsidRPr="00591589" w:rsidSect="0043718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43" w:rsidRDefault="00157843" w:rsidP="00157843">
      <w:pPr>
        <w:spacing w:after="0" w:line="240" w:lineRule="auto"/>
      </w:pPr>
      <w:r>
        <w:separator/>
      </w:r>
    </w:p>
  </w:endnote>
  <w:endnote w:type="continuationSeparator" w:id="1">
    <w:p w:rsidR="00157843" w:rsidRDefault="00157843" w:rsidP="0015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43" w:rsidRDefault="00157843" w:rsidP="00157843">
      <w:pPr>
        <w:spacing w:after="0" w:line="240" w:lineRule="auto"/>
      </w:pPr>
      <w:r>
        <w:separator/>
      </w:r>
    </w:p>
  </w:footnote>
  <w:footnote w:type="continuationSeparator" w:id="1">
    <w:p w:rsidR="00157843" w:rsidRDefault="00157843" w:rsidP="0015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42"/>
      <w:gridCol w:w="8186"/>
    </w:tblGrid>
    <w:tr w:rsidR="00157843" w:rsidRPr="00F902F9" w:rsidTr="00AC62A7">
      <w:tc>
        <w:tcPr>
          <w:tcW w:w="1242" w:type="dxa"/>
        </w:tcPr>
        <w:p w:rsidR="00157843" w:rsidRPr="008F0DCD" w:rsidRDefault="00157843" w:rsidP="00AC62A7">
          <w:pPr>
            <w:pStyle w:val="a5"/>
            <w:rPr>
              <w:color w:val="244061"/>
              <w:sz w:val="20"/>
              <w:szCs w:val="20"/>
              <w:lang w:val="en-US" w:eastAsia="en-US"/>
            </w:rPr>
          </w:pPr>
          <w:r>
            <w:rPr>
              <w:noProof/>
            </w:rPr>
            <w:drawing>
              <wp:inline distT="0" distB="0" distL="0" distR="0">
                <wp:extent cx="419100" cy="450850"/>
                <wp:effectExtent l="19050" t="0" r="0" b="0"/>
                <wp:docPr id="9" name="Рисунок 256" descr="http://omgtu.ru/general_information/files/Gerb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56" descr="http://omgtu.ru/general_information/files/Ger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6" w:type="dxa"/>
        </w:tcPr>
        <w:p w:rsidR="00157843" w:rsidRPr="00F902F9" w:rsidRDefault="00157843" w:rsidP="00AC62A7">
          <w:pPr>
            <w:pStyle w:val="a5"/>
            <w:jc w:val="right"/>
            <w:rPr>
              <w:i/>
              <w:color w:val="244061"/>
              <w:sz w:val="20"/>
              <w:szCs w:val="20"/>
              <w:lang w:eastAsia="en-US"/>
            </w:rPr>
          </w:pPr>
          <w:r>
            <w:rPr>
              <w:i/>
              <w:color w:val="244061"/>
              <w:sz w:val="20"/>
              <w:szCs w:val="20"/>
              <w:lang w:val="en-US" w:eastAsia="en-US"/>
            </w:rPr>
            <w:t>X</w:t>
          </w:r>
          <w:r w:rsidR="001B7274">
            <w:rPr>
              <w:i/>
              <w:color w:val="244061"/>
              <w:sz w:val="20"/>
              <w:szCs w:val="20"/>
              <w:lang w:val="en-US" w:eastAsia="en-US"/>
            </w:rPr>
            <w:t>I</w:t>
          </w:r>
          <w:r>
            <w:rPr>
              <w:i/>
              <w:color w:val="244061"/>
              <w:sz w:val="20"/>
              <w:szCs w:val="20"/>
              <w:lang w:eastAsia="en-US"/>
            </w:rPr>
            <w:t xml:space="preserve"> </w:t>
          </w:r>
          <w:r w:rsidRPr="00F902F9">
            <w:rPr>
              <w:i/>
              <w:color w:val="244061"/>
              <w:sz w:val="20"/>
              <w:szCs w:val="20"/>
              <w:lang w:eastAsia="en-US"/>
            </w:rPr>
            <w:t>Международная научно-практическая конференция «Безопасность городской среды»</w:t>
          </w:r>
        </w:p>
        <w:p w:rsidR="00157843" w:rsidRPr="00F902F9" w:rsidRDefault="00157843" w:rsidP="00AC62A7">
          <w:pPr>
            <w:pStyle w:val="a5"/>
            <w:jc w:val="right"/>
            <w:rPr>
              <w:i/>
              <w:color w:val="244061"/>
              <w:sz w:val="20"/>
              <w:szCs w:val="20"/>
              <w:lang w:eastAsia="en-US"/>
            </w:rPr>
          </w:pPr>
          <w:r>
            <w:rPr>
              <w:i/>
              <w:color w:val="244061"/>
              <w:sz w:val="20"/>
              <w:szCs w:val="20"/>
              <w:lang w:eastAsia="en-US"/>
            </w:rPr>
            <w:t xml:space="preserve"> 1</w:t>
          </w:r>
          <w:r w:rsidR="001B7274" w:rsidRPr="001B7274">
            <w:rPr>
              <w:i/>
              <w:color w:val="244061"/>
              <w:sz w:val="20"/>
              <w:szCs w:val="20"/>
              <w:lang w:eastAsia="en-US"/>
            </w:rPr>
            <w:t>5</w:t>
          </w:r>
          <w:r>
            <w:rPr>
              <w:i/>
              <w:color w:val="244061"/>
              <w:sz w:val="20"/>
              <w:szCs w:val="20"/>
              <w:lang w:eastAsia="en-US"/>
            </w:rPr>
            <w:t>–1</w:t>
          </w:r>
          <w:r w:rsidR="001B7274" w:rsidRPr="001B7274">
            <w:rPr>
              <w:i/>
              <w:color w:val="244061"/>
              <w:sz w:val="20"/>
              <w:szCs w:val="20"/>
              <w:lang w:eastAsia="en-US"/>
            </w:rPr>
            <w:t>7</w:t>
          </w:r>
          <w:r w:rsidRPr="00F902F9">
            <w:rPr>
              <w:i/>
              <w:color w:val="244061"/>
              <w:sz w:val="20"/>
              <w:szCs w:val="20"/>
              <w:lang w:eastAsia="en-US"/>
            </w:rPr>
            <w:t xml:space="preserve"> ноября 20</w:t>
          </w:r>
          <w:r>
            <w:rPr>
              <w:i/>
              <w:color w:val="244061"/>
              <w:sz w:val="20"/>
              <w:szCs w:val="20"/>
              <w:lang w:eastAsia="en-US"/>
            </w:rPr>
            <w:t>2</w:t>
          </w:r>
          <w:r w:rsidR="001B7274">
            <w:rPr>
              <w:i/>
              <w:color w:val="244061"/>
              <w:sz w:val="20"/>
              <w:szCs w:val="20"/>
              <w:lang w:val="en-US" w:eastAsia="en-US"/>
            </w:rPr>
            <w:t>3</w:t>
          </w:r>
          <w:r w:rsidRPr="00F902F9">
            <w:rPr>
              <w:i/>
              <w:color w:val="244061"/>
              <w:sz w:val="20"/>
              <w:szCs w:val="20"/>
              <w:lang w:eastAsia="en-US"/>
            </w:rPr>
            <w:t xml:space="preserve"> года, </w:t>
          </w:r>
          <w:proofErr w:type="gramStart"/>
          <w:r w:rsidRPr="00F902F9">
            <w:rPr>
              <w:i/>
              <w:color w:val="244061"/>
              <w:sz w:val="20"/>
              <w:szCs w:val="20"/>
              <w:lang w:eastAsia="en-US"/>
            </w:rPr>
            <w:t>г</w:t>
          </w:r>
          <w:proofErr w:type="gramEnd"/>
          <w:r w:rsidRPr="00F902F9">
            <w:rPr>
              <w:i/>
              <w:color w:val="244061"/>
              <w:sz w:val="20"/>
              <w:szCs w:val="20"/>
              <w:lang w:eastAsia="en-US"/>
            </w:rPr>
            <w:t>. Омск, Россия</w:t>
          </w:r>
        </w:p>
        <w:p w:rsidR="00157843" w:rsidRPr="00F902F9" w:rsidRDefault="00157843" w:rsidP="00AC62A7">
          <w:pPr>
            <w:pStyle w:val="a5"/>
            <w:rPr>
              <w:color w:val="244061"/>
              <w:sz w:val="20"/>
              <w:szCs w:val="20"/>
              <w:lang w:eastAsia="en-US"/>
            </w:rPr>
          </w:pPr>
        </w:p>
      </w:tc>
    </w:tr>
  </w:tbl>
  <w:p w:rsidR="00157843" w:rsidRDefault="001578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589"/>
    <w:rsid w:val="00157843"/>
    <w:rsid w:val="001B7274"/>
    <w:rsid w:val="00437182"/>
    <w:rsid w:val="00591589"/>
    <w:rsid w:val="00625707"/>
    <w:rsid w:val="00D9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843"/>
  </w:style>
  <w:style w:type="paragraph" w:styleId="a7">
    <w:name w:val="footer"/>
    <w:basedOn w:val="a"/>
    <w:link w:val="a8"/>
    <w:uiPriority w:val="99"/>
    <w:semiHidden/>
    <w:unhideWhenUsed/>
    <w:rsid w:val="0015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843"/>
  </w:style>
  <w:style w:type="paragraph" w:customStyle="1" w:styleId="Default">
    <w:name w:val="Default"/>
    <w:rsid w:val="0062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25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n.kazgeo.kz/news/2011/08/108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5892</Characters>
  <Application>Microsoft Office Word</Application>
  <DocSecurity>0</DocSecurity>
  <Lines>49</Lines>
  <Paragraphs>13</Paragraphs>
  <ScaleCrop>false</ScaleCrop>
  <Company>HP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2022-08-18T19:05:00Z</dcterms:created>
  <dcterms:modified xsi:type="dcterms:W3CDTF">2023-10-17T19:49:00Z</dcterms:modified>
</cp:coreProperties>
</file>